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b"/>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431038" w:rsidTr="00431038">
        <w:trPr>
          <w:jc w:val="center"/>
        </w:trPr>
        <w:tc>
          <w:tcPr>
            <w:tcW w:w="743" w:type="dxa"/>
            <w:hideMark/>
          </w:tcPr>
          <w:p w:rsidR="00431038" w:rsidRDefault="00431038">
            <w:pPr>
              <w:jc w:val="both"/>
              <w:rPr>
                <w:rFonts w:ascii="Arial (W1)" w:hAnsi="Arial (W1)"/>
                <w:b/>
                <w:bCs/>
                <w:sz w:val="28"/>
                <w:szCs w:val="28"/>
              </w:rPr>
            </w:pPr>
            <w:bookmarkStart w:id="0" w:name="_GoBack"/>
            <w:bookmarkEnd w:id="0"/>
            <w:r>
              <w:rPr>
                <w:b/>
                <w:bCs/>
                <w:sz w:val="28"/>
                <w:rtl/>
              </w:rPr>
              <w:t xml:space="preserve">לפני </w:t>
            </w:r>
          </w:p>
        </w:tc>
        <w:tc>
          <w:tcPr>
            <w:tcW w:w="8077" w:type="dxa"/>
            <w:gridSpan w:val="2"/>
            <w:hideMark/>
          </w:tcPr>
          <w:p w:rsidR="00431038" w:rsidRDefault="00431038" w:rsidP="008144A4">
            <w:pPr>
              <w:jc w:val="left"/>
              <w:rPr>
                <w:rFonts w:ascii="Arial" w:hAnsi="Arial"/>
                <w:b/>
                <w:bCs/>
              </w:rPr>
            </w:pPr>
            <w:r>
              <w:rPr>
                <w:rFonts w:ascii="Arial" w:hAnsi="Arial"/>
                <w:b/>
                <w:bCs/>
                <w:rtl/>
              </w:rPr>
              <w:t>כבוד ה</w:t>
            </w:r>
            <w:sdt>
              <w:sdtPr>
                <w:rPr>
                  <w:rtl/>
                </w:rPr>
                <w:alias w:val="1574"/>
                <w:tag w:val="1574"/>
                <w:id w:val="-868990752"/>
                <w:text w:multiLine="1"/>
              </w:sdtPr>
              <w:sdtEndPr/>
              <w:sdtContent>
                <w:r>
                  <w:rPr>
                    <w:rFonts w:ascii="Arial" w:hAnsi="Arial"/>
                    <w:b/>
                    <w:bCs/>
                    <w:rtl/>
                  </w:rPr>
                  <w:t>שופטת</w:t>
                </w:r>
              </w:sdtContent>
            </w:sdt>
            <w:r>
              <w:rPr>
                <w:rFonts w:ascii="Arial" w:hAnsi="Arial"/>
                <w:b/>
                <w:bCs/>
                <w:rtl/>
              </w:rPr>
              <w:t xml:space="preserve">  </w:t>
            </w:r>
            <w:sdt>
              <w:sdtPr>
                <w:rPr>
                  <w:rtl/>
                </w:rPr>
                <w:alias w:val="1573"/>
                <w:tag w:val="1573"/>
                <w:id w:val="407734867"/>
                <w:text w:multiLine="1"/>
              </w:sdtPr>
              <w:sdtEndPr/>
              <w:sdtContent>
                <w:r>
                  <w:rPr>
                    <w:rFonts w:ascii="Arial" w:hAnsi="Arial"/>
                    <w:b/>
                    <w:bCs/>
                    <w:rtl/>
                  </w:rPr>
                  <w:t>ליאת דהן חיון</w:t>
                </w:r>
                <w:r w:rsidR="008144A4">
                  <w:rPr>
                    <w:rFonts w:ascii="Arial" w:hAnsi="Arial"/>
                    <w:b/>
                    <w:bCs/>
                    <w:rtl/>
                  </w:rPr>
                  <w:br/>
                </w:r>
              </w:sdtContent>
            </w:sdt>
          </w:p>
        </w:tc>
      </w:tr>
      <w:tr w:rsidR="00431038" w:rsidTr="00431038">
        <w:trPr>
          <w:jc w:val="center"/>
        </w:trPr>
        <w:tc>
          <w:tcPr>
            <w:tcW w:w="3249" w:type="dxa"/>
            <w:gridSpan w:val="2"/>
            <w:hideMark/>
          </w:tcPr>
          <w:sdt>
            <w:sdtPr>
              <w:rPr>
                <w:rtl/>
              </w:rPr>
              <w:alias w:val="1180"/>
              <w:tag w:val="1180"/>
              <w:id w:val="-803768281"/>
              <w:text w:multiLine="1"/>
            </w:sdtPr>
            <w:sdtEndPr/>
            <w:sdtContent>
              <w:p w:rsidR="00431038" w:rsidRDefault="00431038">
                <w:pPr>
                  <w:jc w:val="left"/>
                  <w:rPr>
                    <w:rFonts w:ascii="Arial (W1)" w:hAnsi="Arial (W1)"/>
                    <w:b/>
                    <w:bCs/>
                    <w:noProof w:val="0"/>
                    <w:sz w:val="28"/>
                    <w:szCs w:val="28"/>
                    <w:rtl/>
                  </w:rPr>
                </w:pPr>
                <w:r>
                  <w:rPr>
                    <w:b/>
                    <w:bCs/>
                    <w:noProof w:val="0"/>
                    <w:sz w:val="28"/>
                    <w:rtl/>
                  </w:rPr>
                  <w:t>תובעת</w:t>
                </w:r>
              </w:p>
            </w:sdtContent>
          </w:sdt>
        </w:tc>
        <w:tc>
          <w:tcPr>
            <w:tcW w:w="5571" w:type="dxa"/>
            <w:hideMark/>
          </w:tcPr>
          <w:p w:rsidR="00431038" w:rsidRDefault="00CA2E6F" w:rsidP="008144A4">
            <w:pPr>
              <w:jc w:val="left"/>
              <w:rPr>
                <w:rFonts w:ascii="Arial" w:hAnsi="Arial"/>
                <w:b/>
                <w:bCs/>
                <w:noProof w:val="0"/>
                <w:sz w:val="26"/>
                <w:szCs w:val="26"/>
              </w:rPr>
            </w:pPr>
            <w:sdt>
              <w:sdtPr>
                <w:rPr>
                  <w:b/>
                  <w:bCs/>
                  <w:noProof w:val="0"/>
                  <w:sz w:val="28"/>
                  <w:rtl/>
                </w:rPr>
                <w:alias w:val="1478"/>
                <w:tag w:val="1478"/>
                <w:id w:val="160126198"/>
                <w:text w:multiLine="1"/>
              </w:sdtPr>
              <w:sdtEndPr/>
              <w:sdtContent>
                <w:r w:rsidR="008144A4">
                  <w:rPr>
                    <w:rFonts w:hint="cs"/>
                    <w:b/>
                    <w:bCs/>
                    <w:noProof w:val="0"/>
                    <w:sz w:val="28"/>
                    <w:rtl/>
                  </w:rPr>
                  <w:t>פלונית</w:t>
                </w:r>
              </w:sdtContent>
            </w:sdt>
            <w:r w:rsidR="008144A4">
              <w:rPr>
                <w:rFonts w:hint="cs"/>
                <w:b/>
                <w:bCs/>
                <w:noProof w:val="0"/>
                <w:sz w:val="28"/>
                <w:rtl/>
              </w:rPr>
              <w:t xml:space="preserve"> </w:t>
            </w:r>
          </w:p>
          <w:p w:rsidR="00431038" w:rsidRDefault="00431038">
            <w:pPr>
              <w:jc w:val="left"/>
              <w:rPr>
                <w:rFonts w:ascii="Arial (W1)" w:hAnsi="Arial (W1)"/>
                <w:b/>
                <w:bCs/>
                <w:noProof w:val="0"/>
                <w:rtl/>
              </w:rPr>
            </w:pPr>
            <w:r>
              <w:rPr>
                <w:rFonts w:ascii="Arial" w:hAnsi="Arial"/>
                <w:b/>
                <w:bCs/>
                <w:noProof w:val="0"/>
                <w:rtl/>
              </w:rPr>
              <w:t>ע"י ב"כ עוה"ד</w:t>
            </w:r>
            <w:r>
              <w:rPr>
                <w:rFonts w:ascii="Arial (W1)" w:hAnsi="Arial (W1)"/>
                <w:b/>
                <w:bCs/>
                <w:noProof w:val="0"/>
                <w:rtl/>
              </w:rPr>
              <w:t xml:space="preserve"> אביב בכר</w:t>
            </w:r>
          </w:p>
        </w:tc>
      </w:tr>
      <w:tr w:rsidR="00431038" w:rsidTr="00431038">
        <w:trPr>
          <w:jc w:val="center"/>
        </w:trPr>
        <w:tc>
          <w:tcPr>
            <w:tcW w:w="8820" w:type="dxa"/>
            <w:gridSpan w:val="3"/>
          </w:tcPr>
          <w:p w:rsidR="00431038" w:rsidRPr="008144A4" w:rsidRDefault="00431038">
            <w:pPr>
              <w:rPr>
                <w:rFonts w:ascii="Arial (W1)" w:hAnsi="Arial (W1)"/>
                <w:b/>
                <w:bCs/>
                <w:noProof w:val="0"/>
                <w:sz w:val="28"/>
                <w:szCs w:val="28"/>
                <w:rtl/>
              </w:rPr>
            </w:pPr>
          </w:p>
          <w:p w:rsidR="00431038" w:rsidRDefault="00431038">
            <w:pPr>
              <w:jc w:val="center"/>
              <w:rPr>
                <w:b/>
                <w:bCs/>
                <w:noProof w:val="0"/>
                <w:sz w:val="28"/>
                <w:rtl/>
              </w:rPr>
            </w:pPr>
            <w:r>
              <w:rPr>
                <w:b/>
                <w:bCs/>
                <w:noProof w:val="0"/>
                <w:sz w:val="28"/>
                <w:rtl/>
              </w:rPr>
              <w:t>נגד</w:t>
            </w:r>
          </w:p>
          <w:p w:rsidR="00431038" w:rsidRDefault="00431038">
            <w:pPr>
              <w:rPr>
                <w:rFonts w:ascii="Arial (W1)" w:hAnsi="Arial (W1)"/>
                <w:b/>
                <w:bCs/>
                <w:noProof w:val="0"/>
                <w:sz w:val="28"/>
                <w:szCs w:val="28"/>
                <w:rtl/>
              </w:rPr>
            </w:pPr>
          </w:p>
        </w:tc>
      </w:tr>
      <w:tr w:rsidR="00431038" w:rsidTr="00431038">
        <w:trPr>
          <w:jc w:val="center"/>
        </w:trPr>
        <w:tc>
          <w:tcPr>
            <w:tcW w:w="3249" w:type="dxa"/>
            <w:gridSpan w:val="2"/>
            <w:hideMark/>
          </w:tcPr>
          <w:p w:rsidR="00431038" w:rsidRDefault="00CA2E6F" w:rsidP="008144A4">
            <w:pPr>
              <w:jc w:val="left"/>
              <w:rPr>
                <w:rFonts w:ascii="Arial (W1)" w:hAnsi="Arial (W1)"/>
                <w:b/>
                <w:bCs/>
                <w:noProof w:val="0"/>
                <w:sz w:val="28"/>
                <w:szCs w:val="28"/>
              </w:rPr>
            </w:pPr>
            <w:sdt>
              <w:sdtPr>
                <w:rPr>
                  <w:rtl/>
                </w:rPr>
                <w:alias w:val="1184"/>
                <w:tag w:val="1184"/>
                <w:id w:val="-910234160"/>
                <w:text w:multiLine="1"/>
              </w:sdtPr>
              <w:sdtEndPr/>
              <w:sdtContent>
                <w:r w:rsidR="00431038">
                  <w:rPr>
                    <w:b/>
                    <w:bCs/>
                    <w:noProof w:val="0"/>
                    <w:sz w:val="28"/>
                    <w:rtl/>
                  </w:rPr>
                  <w:t>נתבע</w:t>
                </w:r>
              </w:sdtContent>
            </w:sdt>
          </w:p>
        </w:tc>
        <w:tc>
          <w:tcPr>
            <w:tcW w:w="5571" w:type="dxa"/>
            <w:hideMark/>
          </w:tcPr>
          <w:p w:rsidR="00431038" w:rsidRDefault="00CA2E6F" w:rsidP="008144A4">
            <w:pPr>
              <w:jc w:val="left"/>
              <w:rPr>
                <w:rFonts w:ascii="Arial" w:hAnsi="Arial"/>
                <w:b/>
                <w:bCs/>
                <w:noProof w:val="0"/>
                <w:sz w:val="26"/>
                <w:szCs w:val="26"/>
              </w:rPr>
            </w:pPr>
            <w:sdt>
              <w:sdtPr>
                <w:rPr>
                  <w:b/>
                  <w:bCs/>
                  <w:noProof w:val="0"/>
                  <w:sz w:val="28"/>
                  <w:rtl/>
                </w:rPr>
                <w:alias w:val="1486"/>
                <w:tag w:val="1486"/>
                <w:id w:val="1487590763"/>
                <w:text w:multiLine="1"/>
              </w:sdtPr>
              <w:sdtEndPr/>
              <w:sdtContent>
                <w:r w:rsidR="008144A4">
                  <w:rPr>
                    <w:rFonts w:hint="cs"/>
                    <w:b/>
                    <w:bCs/>
                    <w:noProof w:val="0"/>
                    <w:sz w:val="28"/>
                    <w:rtl/>
                  </w:rPr>
                  <w:t>אלמוני</w:t>
                </w:r>
              </w:sdtContent>
            </w:sdt>
            <w:r w:rsidR="008144A4">
              <w:rPr>
                <w:rFonts w:hint="cs"/>
                <w:b/>
                <w:bCs/>
                <w:noProof w:val="0"/>
                <w:sz w:val="28"/>
                <w:rtl/>
              </w:rPr>
              <w:t xml:space="preserve"> </w:t>
            </w:r>
          </w:p>
          <w:p w:rsidR="00431038" w:rsidRDefault="00431038">
            <w:pPr>
              <w:jc w:val="left"/>
              <w:rPr>
                <w:rFonts w:ascii="Arial (W1)" w:hAnsi="Arial (W1)"/>
                <w:b/>
                <w:bCs/>
                <w:noProof w:val="0"/>
                <w:rtl/>
              </w:rPr>
            </w:pPr>
            <w:r>
              <w:rPr>
                <w:rFonts w:ascii="Arial" w:hAnsi="Arial"/>
                <w:b/>
                <w:bCs/>
                <w:noProof w:val="0"/>
                <w:rtl/>
              </w:rPr>
              <w:t>ע"י ב"כ עוה"ד קורל פרג'יאן</w:t>
            </w:r>
          </w:p>
        </w:tc>
      </w:tr>
    </w:tbl>
    <w:p w:rsidR="00431038" w:rsidRDefault="00431038" w:rsidP="00431038">
      <w:pPr>
        <w:suppressLineNumbers/>
        <w:rPr>
          <w:rFonts w:ascii="Arial (W1)" w:hAnsi="Arial (W1)"/>
          <w:sz w:val="28"/>
          <w:szCs w:val="28"/>
        </w:rPr>
      </w:pPr>
    </w:p>
    <w:tbl>
      <w:tblPr>
        <w:tblStyle w:val="ab"/>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431038" w:rsidTr="00431038">
        <w:trPr>
          <w:jc w:val="center"/>
        </w:trPr>
        <w:tc>
          <w:tcPr>
            <w:tcW w:w="8820" w:type="dxa"/>
            <w:hideMark/>
          </w:tcPr>
          <w:p w:rsidR="00431038" w:rsidRDefault="00431038">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431038" w:rsidRDefault="00431038" w:rsidP="00431038">
      <w:pPr>
        <w:spacing w:line="360" w:lineRule="auto"/>
        <w:jc w:val="both"/>
        <w:rPr>
          <w:rFonts w:ascii="Arial" w:hAnsi="Arial"/>
          <w:noProof w:val="0"/>
        </w:rPr>
      </w:pPr>
    </w:p>
    <w:p w:rsidR="00431038" w:rsidRDefault="00431038" w:rsidP="00431038">
      <w:pPr>
        <w:spacing w:line="360" w:lineRule="auto"/>
        <w:jc w:val="both"/>
        <w:rPr>
          <w:rFonts w:ascii="David" w:hAnsi="David"/>
          <w:noProof w:val="0"/>
          <w:rtl/>
        </w:rPr>
      </w:pPr>
      <w:r>
        <w:rPr>
          <w:rFonts w:ascii="David" w:hAnsi="David"/>
          <w:rtl/>
        </w:rPr>
        <w:t xml:space="preserve">עניינו של פס"ד </w:t>
      </w:r>
      <w:r>
        <w:rPr>
          <w:rFonts w:ascii="David" w:hAnsi="David"/>
          <w:noProof w:val="0"/>
          <w:rtl/>
        </w:rPr>
        <w:t xml:space="preserve">באיזון משאבים בין בני זוג, שיתוף בכספי ירושה וחלוקה בלתי שוויונית. </w:t>
      </w:r>
    </w:p>
    <w:p w:rsidR="00431038" w:rsidRDefault="00431038" w:rsidP="00431038">
      <w:pPr>
        <w:jc w:val="both"/>
        <w:rPr>
          <w:rFonts w:ascii="David" w:hAnsi="David"/>
          <w:b/>
          <w:bCs/>
          <w:u w:val="single"/>
        </w:rPr>
      </w:pPr>
    </w:p>
    <w:p w:rsidR="00431038" w:rsidRDefault="00431038" w:rsidP="00431038">
      <w:pPr>
        <w:spacing w:line="360" w:lineRule="auto"/>
        <w:jc w:val="both"/>
        <w:rPr>
          <w:rFonts w:ascii="David" w:hAnsi="David"/>
          <w:b/>
          <w:bCs/>
          <w:sz w:val="28"/>
          <w:szCs w:val="28"/>
          <w:u w:val="single"/>
          <w:rtl/>
        </w:rPr>
      </w:pPr>
      <w:r>
        <w:rPr>
          <w:rFonts w:ascii="David" w:hAnsi="David"/>
          <w:b/>
          <w:bCs/>
          <w:sz w:val="28"/>
          <w:szCs w:val="28"/>
          <w:highlight w:val="lightGray"/>
          <w:u w:val="single"/>
          <w:rtl/>
        </w:rPr>
        <w:t>רקע ועובדות רלוונטיות:</w:t>
      </w:r>
    </w:p>
    <w:p w:rsidR="00431038" w:rsidRDefault="00431038" w:rsidP="00431038">
      <w:pPr>
        <w:jc w:val="both"/>
        <w:rPr>
          <w:rFonts w:ascii="David" w:hAnsi="David"/>
          <w:b/>
          <w:bCs/>
          <w:sz w:val="28"/>
          <w:szCs w:val="28"/>
          <w:u w:val="single"/>
        </w:rPr>
      </w:pPr>
    </w:p>
    <w:p w:rsidR="00431038" w:rsidRDefault="00431038" w:rsidP="002A7D46">
      <w:pPr>
        <w:pStyle w:val="aa"/>
        <w:numPr>
          <w:ilvl w:val="0"/>
          <w:numId w:val="1"/>
        </w:numPr>
        <w:spacing w:line="360" w:lineRule="auto"/>
        <w:jc w:val="both"/>
        <w:rPr>
          <w:rFonts w:ascii="David" w:hAnsi="David" w:cs="David"/>
          <w:sz w:val="24"/>
          <w:szCs w:val="24"/>
          <w:rtl/>
        </w:rPr>
      </w:pPr>
      <w:r>
        <w:rPr>
          <w:rFonts w:ascii="David" w:hAnsi="David" w:cs="David"/>
          <w:sz w:val="24"/>
          <w:szCs w:val="24"/>
          <w:rtl/>
        </w:rPr>
        <w:t xml:space="preserve">הצדדים יהודים, נישאו כדמו"י ביום 4.7.01 ונפרדו ביום 31.1.20. מנישואיהם נולדו הילדים, </w:t>
      </w:r>
      <w:r w:rsidR="002A7D46">
        <w:rPr>
          <w:rFonts w:ascii="David" w:hAnsi="David" w:cs="David" w:hint="cs"/>
          <w:sz w:val="24"/>
          <w:szCs w:val="24"/>
          <w:rtl/>
        </w:rPr>
        <w:t>*** ***</w:t>
      </w:r>
      <w:r>
        <w:rPr>
          <w:rFonts w:ascii="David" w:hAnsi="David" w:cs="David"/>
          <w:sz w:val="24"/>
          <w:szCs w:val="24"/>
          <w:rtl/>
        </w:rPr>
        <w:t xml:space="preserve">, יליד 6.9.04 (בגיר); </w:t>
      </w:r>
      <w:r w:rsidR="002A7D46">
        <w:rPr>
          <w:rFonts w:ascii="David" w:hAnsi="David" w:cs="David" w:hint="cs"/>
          <w:sz w:val="24"/>
          <w:szCs w:val="24"/>
          <w:rtl/>
        </w:rPr>
        <w:t>***</w:t>
      </w:r>
      <w:r>
        <w:rPr>
          <w:rFonts w:ascii="David" w:hAnsi="David" w:cs="David"/>
          <w:sz w:val="24"/>
          <w:szCs w:val="24"/>
          <w:rtl/>
        </w:rPr>
        <w:t xml:space="preserve">, יליד 26.10.06 (בן 16 שנים); </w:t>
      </w:r>
      <w:r w:rsidR="002A7D46">
        <w:rPr>
          <w:rFonts w:ascii="David" w:hAnsi="David" w:cs="David" w:hint="cs"/>
          <w:sz w:val="24"/>
          <w:szCs w:val="24"/>
          <w:rtl/>
        </w:rPr>
        <w:t>***</w:t>
      </w:r>
      <w:r>
        <w:rPr>
          <w:rFonts w:ascii="David" w:hAnsi="David" w:cs="David"/>
          <w:sz w:val="24"/>
          <w:szCs w:val="24"/>
          <w:rtl/>
        </w:rPr>
        <w:t>, יליד 1.8.11 (בן 12 שנים).</w:t>
      </w:r>
    </w:p>
    <w:p w:rsidR="00431038" w:rsidRDefault="00431038" w:rsidP="00431038">
      <w:pPr>
        <w:pStyle w:val="aa"/>
        <w:spacing w:line="240" w:lineRule="auto"/>
        <w:jc w:val="both"/>
        <w:rPr>
          <w:rFonts w:ascii="David" w:hAnsi="David" w:cs="David"/>
          <w:sz w:val="24"/>
          <w:szCs w:val="24"/>
          <w:rtl/>
        </w:rPr>
      </w:pPr>
    </w:p>
    <w:p w:rsidR="00431038" w:rsidRDefault="00431038" w:rsidP="00431038">
      <w:pPr>
        <w:pStyle w:val="aa"/>
        <w:numPr>
          <w:ilvl w:val="0"/>
          <w:numId w:val="1"/>
        </w:numPr>
        <w:spacing w:line="360" w:lineRule="auto"/>
        <w:jc w:val="both"/>
        <w:rPr>
          <w:rFonts w:ascii="David" w:hAnsi="David" w:cs="David"/>
          <w:sz w:val="24"/>
          <w:szCs w:val="24"/>
          <w:rtl/>
        </w:rPr>
      </w:pPr>
      <w:r>
        <w:rPr>
          <w:rFonts w:ascii="David" w:hAnsi="David" w:cs="David"/>
          <w:sz w:val="24"/>
          <w:szCs w:val="24"/>
          <w:rtl/>
        </w:rPr>
        <w:t>בנוסף להליך לפניי, בין הצדדים התבררו הליכים נוספים בעניין קטינים אותם הגישה התובעת (להלן: "</w:t>
      </w:r>
      <w:r>
        <w:rPr>
          <w:rFonts w:ascii="David" w:hAnsi="David" w:cs="David"/>
          <w:b/>
          <w:bCs/>
          <w:sz w:val="24"/>
          <w:szCs w:val="24"/>
          <w:rtl/>
        </w:rPr>
        <w:t>האישה או התובעת</w:t>
      </w:r>
      <w:r>
        <w:rPr>
          <w:rFonts w:ascii="David" w:hAnsi="David" w:cs="David"/>
          <w:sz w:val="24"/>
          <w:szCs w:val="24"/>
          <w:rtl/>
        </w:rPr>
        <w:t>") ובכללם, תביעה למשמורת קטינים וקביעת זמני שהות (תלה"מ 56637-12-19) ותביעה לפסיקת מזונות (תלה"מ 56691-12-19). ביום 2.12.20 ניתן פס"ד בהליכים אלה מסגרתו אושרו הסכמות הצדדים, לפיהן, משמורת הקטינים תהא לתובעת וזמני השהות של הנתבע (להלן: "</w:t>
      </w:r>
      <w:r>
        <w:rPr>
          <w:rFonts w:ascii="David" w:hAnsi="David" w:cs="David"/>
          <w:b/>
          <w:bCs/>
          <w:sz w:val="24"/>
          <w:szCs w:val="24"/>
          <w:rtl/>
        </w:rPr>
        <w:t>הנתבע או האיש"</w:t>
      </w:r>
      <w:r>
        <w:rPr>
          <w:rFonts w:ascii="David" w:hAnsi="David" w:cs="David"/>
          <w:sz w:val="24"/>
          <w:szCs w:val="24"/>
          <w:rtl/>
        </w:rPr>
        <w:t xml:space="preserve">) עם הקטינים ייעשו בתיאום, וזאת בשים לב לגילם, תוך שהתובעת התחייבה שתעודד את הקטינים ללון בבית הנתבע. עוד נפסק שהחלטות המזונות הזמניים מיום 9.3.20 ו-  24.5.20 יאושרו  בתוקף של פסק דין. בהתאמה, חויב הנתבע בתשלום מזונות בסך 6,100 ₪, בחלוקה שווה לכל קטין. </w:t>
      </w:r>
    </w:p>
    <w:p w:rsidR="00431038" w:rsidRDefault="00431038" w:rsidP="00431038">
      <w:pPr>
        <w:spacing w:line="360" w:lineRule="auto"/>
        <w:jc w:val="both"/>
        <w:rPr>
          <w:rFonts w:ascii="David" w:hAnsi="David"/>
          <w:b/>
          <w:bCs/>
          <w:sz w:val="28"/>
          <w:szCs w:val="28"/>
          <w:u w:val="single"/>
          <w:rtl/>
        </w:rPr>
      </w:pPr>
      <w:r>
        <w:rPr>
          <w:rFonts w:ascii="David" w:hAnsi="David"/>
          <w:b/>
          <w:bCs/>
          <w:sz w:val="28"/>
          <w:szCs w:val="28"/>
          <w:u w:val="single"/>
          <w:rtl/>
        </w:rPr>
        <w:t>מוסכמות ופלוגתאות;</w:t>
      </w:r>
    </w:p>
    <w:p w:rsidR="00431038" w:rsidRDefault="00431038" w:rsidP="00431038">
      <w:pPr>
        <w:jc w:val="both"/>
        <w:rPr>
          <w:rFonts w:ascii="David" w:hAnsi="David"/>
          <w:b/>
          <w:bCs/>
          <w:sz w:val="28"/>
          <w:szCs w:val="28"/>
          <w:u w:val="single"/>
          <w:rtl/>
        </w:rPr>
      </w:pPr>
    </w:p>
    <w:p w:rsidR="00431038" w:rsidRDefault="00431038" w:rsidP="00431038">
      <w:pPr>
        <w:pStyle w:val="aa"/>
        <w:numPr>
          <w:ilvl w:val="0"/>
          <w:numId w:val="1"/>
        </w:numPr>
        <w:spacing w:line="360" w:lineRule="auto"/>
        <w:jc w:val="both"/>
        <w:rPr>
          <w:rFonts w:ascii="David" w:hAnsi="David" w:cs="David"/>
          <w:sz w:val="24"/>
          <w:szCs w:val="24"/>
        </w:rPr>
      </w:pPr>
      <w:r>
        <w:rPr>
          <w:rFonts w:ascii="David" w:hAnsi="David" w:cs="David"/>
          <w:sz w:val="24"/>
          <w:szCs w:val="24"/>
          <w:rtl/>
        </w:rPr>
        <w:t xml:space="preserve">הנכס המשותף שהיה בבעלות הצדדים נמכר, ותמורתו חולקה. ראה לעניין זה דברי ב"כ הנתבע בדיון מיום 5.7.21 (עמוד 11 שורות 10-11). </w:t>
      </w:r>
    </w:p>
    <w:p w:rsidR="00431038" w:rsidRDefault="00431038" w:rsidP="00431038">
      <w:pPr>
        <w:pStyle w:val="aa"/>
        <w:spacing w:line="240" w:lineRule="auto"/>
        <w:ind w:left="360"/>
        <w:jc w:val="both"/>
        <w:rPr>
          <w:rFonts w:ascii="David" w:hAnsi="David" w:cs="David"/>
          <w:sz w:val="24"/>
          <w:szCs w:val="24"/>
          <w:rtl/>
        </w:rPr>
      </w:pPr>
    </w:p>
    <w:p w:rsidR="00431038" w:rsidRDefault="00431038" w:rsidP="00431038">
      <w:pPr>
        <w:pStyle w:val="aa"/>
        <w:numPr>
          <w:ilvl w:val="0"/>
          <w:numId w:val="1"/>
        </w:numPr>
        <w:spacing w:line="360" w:lineRule="auto"/>
        <w:jc w:val="both"/>
        <w:rPr>
          <w:rFonts w:ascii="David" w:hAnsi="David" w:cs="David"/>
          <w:b/>
          <w:bCs/>
          <w:sz w:val="24"/>
          <w:szCs w:val="24"/>
        </w:rPr>
      </w:pPr>
      <w:r>
        <w:rPr>
          <w:rFonts w:ascii="David" w:hAnsi="David" w:cs="David"/>
          <w:sz w:val="24"/>
          <w:szCs w:val="24"/>
          <w:rtl/>
        </w:rPr>
        <w:t xml:space="preserve"> בהמשך לקביעות המומחה בחוות דעתו, גובשו הסכמות כדלקמן: </w:t>
      </w:r>
    </w:p>
    <w:p w:rsidR="00431038" w:rsidRDefault="00431038" w:rsidP="00431038">
      <w:pPr>
        <w:pStyle w:val="aa"/>
        <w:numPr>
          <w:ilvl w:val="0"/>
          <w:numId w:val="2"/>
        </w:numPr>
        <w:spacing w:line="360" w:lineRule="auto"/>
        <w:jc w:val="both"/>
        <w:rPr>
          <w:rFonts w:ascii="David" w:hAnsi="David" w:cs="David"/>
          <w:b/>
          <w:bCs/>
          <w:sz w:val="24"/>
          <w:szCs w:val="24"/>
        </w:rPr>
      </w:pPr>
      <w:r>
        <w:rPr>
          <w:rFonts w:ascii="David" w:hAnsi="David" w:cs="David"/>
          <w:sz w:val="24"/>
          <w:szCs w:val="24"/>
          <w:rtl/>
        </w:rPr>
        <w:t>יבוצע איזון זכויות סוציאליות בהתאם לקבוע בחוות הדעת (ראו עמוד 30 שורות 25-26 לפרוטוקול מיום 21.5.22).</w:t>
      </w:r>
    </w:p>
    <w:p w:rsidR="00431038" w:rsidRDefault="00431038" w:rsidP="00431038">
      <w:pPr>
        <w:pStyle w:val="aa"/>
        <w:numPr>
          <w:ilvl w:val="0"/>
          <w:numId w:val="2"/>
        </w:numPr>
        <w:spacing w:line="360" w:lineRule="auto"/>
        <w:jc w:val="both"/>
        <w:rPr>
          <w:rFonts w:ascii="David" w:hAnsi="David" w:cs="David"/>
          <w:b/>
          <w:bCs/>
          <w:sz w:val="24"/>
          <w:szCs w:val="24"/>
        </w:rPr>
      </w:pPr>
      <w:r>
        <w:rPr>
          <w:rFonts w:ascii="David" w:hAnsi="David" w:cs="David"/>
          <w:sz w:val="24"/>
          <w:szCs w:val="24"/>
          <w:rtl/>
        </w:rPr>
        <w:t>יבוצע איזון ביחס לשווי הרכב מסוג פיאט קובו ש.י 2013 שנמצא בחזקת התובעת ואשר ערכו נקבע בסך 15,000 ₪  (ראו: סעיף 2 לסיכומי התובעת; סעיף 3 לסיכומי הנתבע).</w:t>
      </w:r>
    </w:p>
    <w:p w:rsidR="00431038" w:rsidRDefault="00431038" w:rsidP="002A7D46">
      <w:pPr>
        <w:pStyle w:val="aa"/>
        <w:numPr>
          <w:ilvl w:val="0"/>
          <w:numId w:val="2"/>
        </w:numPr>
        <w:spacing w:line="360" w:lineRule="auto"/>
        <w:jc w:val="both"/>
        <w:rPr>
          <w:rFonts w:ascii="David" w:hAnsi="David" w:cs="David"/>
          <w:b/>
          <w:bCs/>
          <w:sz w:val="24"/>
          <w:szCs w:val="24"/>
        </w:rPr>
      </w:pPr>
      <w:r>
        <w:rPr>
          <w:rFonts w:ascii="David" w:hAnsi="David" w:cs="David"/>
          <w:sz w:val="24"/>
          <w:szCs w:val="24"/>
          <w:rtl/>
        </w:rPr>
        <w:lastRenderedPageBreak/>
        <w:t xml:space="preserve">חלקה של התובעת בשווי העסק שרשום ע"ש הנתבע יהא בסך 43,079  ₪ (ראו: סעיף 2 לסיכומי האישה; סעיף 3 לסיכומי הנתבע). </w:t>
      </w:r>
    </w:p>
    <w:p w:rsidR="00431038" w:rsidRDefault="00431038" w:rsidP="00431038">
      <w:pPr>
        <w:pStyle w:val="aa"/>
        <w:spacing w:line="360" w:lineRule="auto"/>
        <w:ind w:left="1128"/>
        <w:jc w:val="both"/>
        <w:rPr>
          <w:rFonts w:ascii="David" w:hAnsi="David" w:cs="David"/>
          <w:b/>
          <w:bCs/>
          <w:sz w:val="24"/>
          <w:szCs w:val="24"/>
        </w:rPr>
      </w:pPr>
    </w:p>
    <w:p w:rsidR="00431038" w:rsidRDefault="00431038" w:rsidP="00431038">
      <w:pPr>
        <w:pStyle w:val="aa"/>
        <w:numPr>
          <w:ilvl w:val="0"/>
          <w:numId w:val="1"/>
        </w:numPr>
        <w:spacing w:line="360" w:lineRule="auto"/>
        <w:jc w:val="both"/>
        <w:rPr>
          <w:rFonts w:ascii="David" w:hAnsi="David" w:cs="David"/>
          <w:sz w:val="24"/>
          <w:szCs w:val="24"/>
        </w:rPr>
      </w:pPr>
      <w:r>
        <w:rPr>
          <w:rFonts w:ascii="David" w:hAnsi="David" w:cs="David"/>
          <w:sz w:val="24"/>
          <w:szCs w:val="24"/>
          <w:rtl/>
        </w:rPr>
        <w:t xml:space="preserve">נוכח ההסכמות, המחלוקות שנותרו להכרעה הינן בשאלות כדלקמן: </w:t>
      </w:r>
    </w:p>
    <w:p w:rsidR="00431038" w:rsidRDefault="00431038" w:rsidP="00431038">
      <w:pPr>
        <w:pStyle w:val="aa"/>
        <w:numPr>
          <w:ilvl w:val="0"/>
          <w:numId w:val="3"/>
        </w:numPr>
        <w:spacing w:line="360" w:lineRule="auto"/>
        <w:jc w:val="both"/>
        <w:rPr>
          <w:rFonts w:ascii="David" w:hAnsi="David" w:cs="David"/>
          <w:sz w:val="24"/>
          <w:szCs w:val="24"/>
        </w:rPr>
      </w:pPr>
      <w:r>
        <w:rPr>
          <w:rFonts w:ascii="David" w:hAnsi="David" w:cs="David"/>
          <w:sz w:val="24"/>
          <w:szCs w:val="24"/>
          <w:rtl/>
        </w:rPr>
        <w:t xml:space="preserve">האם הכספים שקיבלה התובעת  מעיזבון אביה, ברי איזון; </w:t>
      </w:r>
    </w:p>
    <w:p w:rsidR="00431038" w:rsidRDefault="00431038" w:rsidP="00431038">
      <w:pPr>
        <w:pStyle w:val="aa"/>
        <w:numPr>
          <w:ilvl w:val="0"/>
          <w:numId w:val="3"/>
        </w:numPr>
        <w:spacing w:line="360" w:lineRule="auto"/>
        <w:jc w:val="both"/>
        <w:rPr>
          <w:rFonts w:ascii="David" w:hAnsi="David" w:cs="David"/>
          <w:sz w:val="24"/>
          <w:szCs w:val="24"/>
        </w:rPr>
      </w:pPr>
      <w:r>
        <w:rPr>
          <w:rFonts w:ascii="David" w:hAnsi="David" w:cs="David"/>
          <w:sz w:val="24"/>
          <w:szCs w:val="24"/>
          <w:rtl/>
        </w:rPr>
        <w:t xml:space="preserve">האם הפיצוי בגין הפרשי נכסי קריירה יבוצע על פי הקבוע בחוות הדעת הראשונה או השנייה; </w:t>
      </w:r>
    </w:p>
    <w:p w:rsidR="00431038" w:rsidRDefault="00431038" w:rsidP="00431038">
      <w:pPr>
        <w:pStyle w:val="aa"/>
        <w:numPr>
          <w:ilvl w:val="0"/>
          <w:numId w:val="3"/>
        </w:numPr>
        <w:spacing w:line="360" w:lineRule="auto"/>
        <w:jc w:val="both"/>
        <w:rPr>
          <w:rFonts w:ascii="David" w:hAnsi="David" w:cs="David"/>
          <w:sz w:val="24"/>
          <w:szCs w:val="24"/>
        </w:rPr>
      </w:pPr>
      <w:r>
        <w:rPr>
          <w:rFonts w:ascii="David" w:hAnsi="David" w:cs="David"/>
          <w:sz w:val="24"/>
          <w:szCs w:val="24"/>
          <w:rtl/>
        </w:rPr>
        <w:t>האם יש להורות על חלוקה בלתי שוויונית בהתאם לסעיף 8 (2) לחוק יחסי ממון.</w:t>
      </w:r>
    </w:p>
    <w:p w:rsidR="00431038" w:rsidRDefault="00431038" w:rsidP="00431038">
      <w:pPr>
        <w:rPr>
          <w:rFonts w:ascii="David" w:hAnsi="David"/>
          <w:b/>
          <w:bCs/>
          <w:sz w:val="28"/>
          <w:szCs w:val="28"/>
          <w:u w:val="single"/>
        </w:rPr>
      </w:pPr>
      <w:r>
        <w:rPr>
          <w:rFonts w:ascii="David" w:hAnsi="David"/>
          <w:b/>
          <w:bCs/>
          <w:sz w:val="28"/>
          <w:szCs w:val="28"/>
          <w:highlight w:val="lightGray"/>
          <w:u w:val="single"/>
          <w:rtl/>
        </w:rPr>
        <w:t>חוות דעת המומחה:</w:t>
      </w:r>
      <w:r>
        <w:rPr>
          <w:rFonts w:ascii="David" w:hAnsi="David"/>
          <w:b/>
          <w:bCs/>
          <w:sz w:val="28"/>
          <w:szCs w:val="28"/>
          <w:u w:val="single"/>
          <w:rtl/>
        </w:rPr>
        <w:t xml:space="preserve"> </w:t>
      </w:r>
    </w:p>
    <w:p w:rsidR="00431038" w:rsidRDefault="00431038" w:rsidP="00431038">
      <w:pPr>
        <w:rPr>
          <w:rFonts w:ascii="David" w:hAnsi="David"/>
          <w:b/>
          <w:bCs/>
          <w:sz w:val="28"/>
          <w:szCs w:val="28"/>
          <w:u w:val="single"/>
        </w:rPr>
      </w:pPr>
    </w:p>
    <w:p w:rsidR="00431038" w:rsidRDefault="00431038" w:rsidP="00431038">
      <w:pPr>
        <w:pStyle w:val="aa"/>
        <w:numPr>
          <w:ilvl w:val="0"/>
          <w:numId w:val="1"/>
        </w:numPr>
        <w:spacing w:line="360" w:lineRule="auto"/>
        <w:jc w:val="both"/>
        <w:rPr>
          <w:rFonts w:ascii="David" w:hAnsi="David" w:cs="David"/>
          <w:sz w:val="24"/>
          <w:szCs w:val="24"/>
        </w:rPr>
      </w:pPr>
      <w:r>
        <w:rPr>
          <w:rFonts w:ascii="David" w:hAnsi="David" w:cs="David"/>
          <w:sz w:val="24"/>
          <w:szCs w:val="24"/>
          <w:rtl/>
        </w:rPr>
        <w:t>ביום 30.3.20 מונה המומחה, רו"ח אבי כהן, לערוך חוות דעת לאיזון המשאבים שצברו הצדדים בתקופת השיתוף, החל מיום הנישואין ועד למועד הקובע 31.1.20</w:t>
      </w:r>
      <w:r>
        <w:rPr>
          <w:rFonts w:ascii="David" w:hAnsi="David" w:cs="David"/>
          <w:b/>
          <w:bCs/>
          <w:sz w:val="24"/>
          <w:szCs w:val="24"/>
          <w:rtl/>
        </w:rPr>
        <w:t xml:space="preserve">. </w:t>
      </w:r>
      <w:r>
        <w:rPr>
          <w:rFonts w:ascii="David" w:hAnsi="David" w:cs="David"/>
          <w:sz w:val="24"/>
          <w:szCs w:val="24"/>
          <w:rtl/>
        </w:rPr>
        <w:t>לתיק הוגשו שתי חוות דעת, כדלקמן:</w:t>
      </w:r>
      <w:r>
        <w:rPr>
          <w:rFonts w:ascii="David" w:hAnsi="David" w:cs="David"/>
          <w:rtl/>
        </w:rPr>
        <w:t xml:space="preserve"> </w:t>
      </w:r>
    </w:p>
    <w:p w:rsidR="00431038" w:rsidRDefault="00431038" w:rsidP="00431038">
      <w:pPr>
        <w:pStyle w:val="aa"/>
        <w:spacing w:line="360" w:lineRule="auto"/>
        <w:ind w:left="360"/>
        <w:jc w:val="both"/>
        <w:rPr>
          <w:rFonts w:ascii="David" w:hAnsi="David" w:cs="David"/>
          <w:b/>
          <w:bCs/>
          <w:sz w:val="24"/>
          <w:szCs w:val="24"/>
          <w:rtl/>
        </w:rPr>
      </w:pPr>
      <w:r>
        <w:rPr>
          <w:rFonts w:ascii="David" w:hAnsi="David" w:cs="David"/>
          <w:b/>
          <w:bCs/>
          <w:sz w:val="24"/>
          <w:szCs w:val="24"/>
          <w:u w:val="single"/>
          <w:rtl/>
        </w:rPr>
        <w:t>חוות הדעת הראשונה</w:t>
      </w:r>
      <w:r>
        <w:rPr>
          <w:rFonts w:ascii="David" w:hAnsi="David" w:cs="David"/>
          <w:sz w:val="24"/>
          <w:szCs w:val="24"/>
          <w:u w:val="single"/>
          <w:rtl/>
        </w:rPr>
        <w:t xml:space="preserve"> </w:t>
      </w:r>
      <w:r>
        <w:rPr>
          <w:rFonts w:ascii="David" w:hAnsi="David" w:cs="David"/>
          <w:b/>
          <w:bCs/>
          <w:sz w:val="24"/>
          <w:szCs w:val="24"/>
          <w:u w:val="single"/>
          <w:rtl/>
        </w:rPr>
        <w:t>מיום 15.10.20 (הוגשה לתיק ביום 20.10.20) בה קבע האקטואר שתי חלופות לאיזון (להלן: "חו"ד הראשונה")</w:t>
      </w:r>
      <w:r>
        <w:rPr>
          <w:rFonts w:ascii="David" w:hAnsi="David" w:cs="David"/>
          <w:b/>
          <w:bCs/>
          <w:sz w:val="24"/>
          <w:szCs w:val="24"/>
          <w:rtl/>
        </w:rPr>
        <w:t>:</w:t>
      </w:r>
    </w:p>
    <w:p w:rsidR="00431038" w:rsidRDefault="00431038" w:rsidP="00431038">
      <w:pPr>
        <w:pStyle w:val="aa"/>
        <w:spacing w:line="240" w:lineRule="auto"/>
        <w:ind w:left="360"/>
        <w:jc w:val="both"/>
        <w:rPr>
          <w:rFonts w:ascii="David" w:hAnsi="David" w:cs="David"/>
          <w:b/>
          <w:bCs/>
          <w:sz w:val="24"/>
          <w:szCs w:val="24"/>
          <w:u w:val="single"/>
          <w:rtl/>
        </w:rPr>
      </w:pPr>
    </w:p>
    <w:p w:rsidR="00431038" w:rsidRDefault="00431038" w:rsidP="00431038">
      <w:pPr>
        <w:pStyle w:val="aa"/>
        <w:numPr>
          <w:ilvl w:val="0"/>
          <w:numId w:val="4"/>
        </w:numPr>
        <w:spacing w:line="360" w:lineRule="auto"/>
        <w:jc w:val="both"/>
        <w:rPr>
          <w:rFonts w:ascii="David" w:hAnsi="David" w:cs="David"/>
          <w:b/>
          <w:bCs/>
          <w:sz w:val="24"/>
          <w:szCs w:val="24"/>
        </w:rPr>
      </w:pPr>
      <w:r>
        <w:rPr>
          <w:rFonts w:ascii="David" w:hAnsi="David" w:cs="David"/>
          <w:b/>
          <w:bCs/>
          <w:sz w:val="24"/>
          <w:szCs w:val="24"/>
          <w:u w:val="single"/>
          <w:rtl/>
        </w:rPr>
        <w:t>חלופה ראשונה - איזון הזכויות ליום חוות הדעת:</w:t>
      </w:r>
      <w:r>
        <w:rPr>
          <w:rFonts w:ascii="David" w:hAnsi="David" w:cs="David"/>
          <w:b/>
          <w:bCs/>
          <w:sz w:val="24"/>
          <w:szCs w:val="24"/>
          <w:rtl/>
        </w:rPr>
        <w:t xml:space="preserve"> </w:t>
      </w:r>
    </w:p>
    <w:p w:rsidR="00431038" w:rsidRDefault="00431038" w:rsidP="00431038">
      <w:pPr>
        <w:pStyle w:val="aa"/>
        <w:numPr>
          <w:ilvl w:val="1"/>
          <w:numId w:val="4"/>
        </w:numPr>
        <w:spacing w:line="360" w:lineRule="auto"/>
        <w:jc w:val="both"/>
        <w:rPr>
          <w:rFonts w:ascii="David" w:hAnsi="David" w:cs="David"/>
          <w:b/>
          <w:bCs/>
          <w:sz w:val="24"/>
          <w:szCs w:val="24"/>
          <w:rtl/>
        </w:rPr>
      </w:pPr>
      <w:r>
        <w:rPr>
          <w:rFonts w:ascii="David" w:hAnsi="David" w:cs="David"/>
          <w:sz w:val="24"/>
          <w:szCs w:val="24"/>
          <w:rtl/>
        </w:rPr>
        <w:t xml:space="preserve">הנתבע יעביר לתובעת סכום חד פעמי (מהוון) בסך של 172,248 ₪. </w:t>
      </w:r>
    </w:p>
    <w:p w:rsidR="00431038" w:rsidRDefault="00431038" w:rsidP="002A7D46">
      <w:pPr>
        <w:pStyle w:val="aa"/>
        <w:spacing w:line="360" w:lineRule="auto"/>
        <w:ind w:left="1440"/>
        <w:jc w:val="both"/>
        <w:rPr>
          <w:rFonts w:ascii="David" w:hAnsi="David" w:cs="David"/>
          <w:sz w:val="24"/>
          <w:szCs w:val="24"/>
          <w:rtl/>
        </w:rPr>
      </w:pPr>
      <w:r>
        <w:rPr>
          <w:rFonts w:ascii="David" w:hAnsi="David" w:cs="David"/>
          <w:sz w:val="24"/>
          <w:szCs w:val="24"/>
          <w:u w:val="single"/>
          <w:rtl/>
        </w:rPr>
        <w:t>בנוסף</w:t>
      </w:r>
      <w:r>
        <w:rPr>
          <w:rFonts w:ascii="David" w:hAnsi="David" w:cs="David"/>
          <w:sz w:val="24"/>
          <w:szCs w:val="24"/>
          <w:rtl/>
        </w:rPr>
        <w:t xml:space="preserve">, ישלם פיצוי חודשי בגין נכסי הקריירה והפרשי ההשתכרות בסך של 1,850 ₪ למשך 60 חודשים (בהתבסס על מזונות בסך 3,600 ₪).סה"כ הערך המהוון עבור הפרשי פוטנציאל ההשתכרות, הינו בסך 102,945 ₪. ככל ביהמ"ש יורה על קיזוז מרכיב זה, יופחת סך הפיצוי החודשי בסך של 279 ₪  עבור כל 1,000 ₪; לחילופין, ניתן לפרוס את הסכום לתקופה ארוכה יותר, כאשר הסכום יישא ריבית בשיעור  3% (כאמור בסעיף ב.1.1 בעמ' 3). </w:t>
      </w:r>
    </w:p>
    <w:p w:rsidR="00431038" w:rsidRDefault="00431038" w:rsidP="00431038">
      <w:pPr>
        <w:pStyle w:val="aa"/>
        <w:numPr>
          <w:ilvl w:val="1"/>
          <w:numId w:val="4"/>
        </w:numPr>
        <w:spacing w:line="360" w:lineRule="auto"/>
        <w:jc w:val="both"/>
        <w:rPr>
          <w:rFonts w:ascii="David" w:hAnsi="David" w:cs="David"/>
          <w:b/>
          <w:bCs/>
          <w:sz w:val="24"/>
          <w:szCs w:val="24"/>
          <w:rtl/>
        </w:rPr>
      </w:pPr>
      <w:r>
        <w:rPr>
          <w:rFonts w:ascii="David" w:hAnsi="David" w:cs="David"/>
          <w:sz w:val="24"/>
          <w:szCs w:val="24"/>
          <w:rtl/>
        </w:rPr>
        <w:t xml:space="preserve">חלקה של התובעת בשווי עסקו של הנתבע יהא בסך של 43,079 ₪ (כאמור בפרק י' לחוות הדעת, הדן בהערכת שווי העסק). </w:t>
      </w:r>
    </w:p>
    <w:p w:rsidR="00431038" w:rsidRDefault="00431038" w:rsidP="002A7D46">
      <w:pPr>
        <w:pStyle w:val="aa"/>
        <w:numPr>
          <w:ilvl w:val="1"/>
          <w:numId w:val="4"/>
        </w:numPr>
        <w:spacing w:line="360" w:lineRule="auto"/>
        <w:jc w:val="both"/>
        <w:rPr>
          <w:rFonts w:ascii="David" w:hAnsi="David" w:cs="David"/>
          <w:b/>
          <w:bCs/>
          <w:sz w:val="24"/>
          <w:szCs w:val="24"/>
        </w:rPr>
      </w:pPr>
      <w:r>
        <w:rPr>
          <w:rFonts w:ascii="David" w:hAnsi="David" w:cs="David"/>
          <w:sz w:val="24"/>
          <w:szCs w:val="24"/>
          <w:rtl/>
        </w:rPr>
        <w:t>הצדדים יחלקו ביניהם את החוב בחשבון המשותף (כאמור בסעיף ח' לחוות הדעת).</w:t>
      </w:r>
    </w:p>
    <w:p w:rsidR="00431038" w:rsidRDefault="00431038" w:rsidP="00431038">
      <w:pPr>
        <w:pStyle w:val="aa"/>
        <w:spacing w:line="240" w:lineRule="auto"/>
        <w:ind w:left="1211"/>
        <w:jc w:val="both"/>
        <w:rPr>
          <w:rFonts w:ascii="David" w:hAnsi="David" w:cs="David"/>
          <w:sz w:val="24"/>
          <w:szCs w:val="24"/>
          <w:u w:val="single"/>
          <w:rtl/>
        </w:rPr>
      </w:pPr>
    </w:p>
    <w:p w:rsidR="00431038" w:rsidRDefault="00431038" w:rsidP="00431038">
      <w:pPr>
        <w:pStyle w:val="aa"/>
        <w:numPr>
          <w:ilvl w:val="0"/>
          <w:numId w:val="4"/>
        </w:numPr>
        <w:spacing w:line="360" w:lineRule="auto"/>
        <w:jc w:val="both"/>
        <w:rPr>
          <w:rFonts w:ascii="David" w:hAnsi="David" w:cs="David"/>
          <w:b/>
          <w:bCs/>
          <w:sz w:val="24"/>
          <w:szCs w:val="24"/>
          <w:u w:val="single"/>
        </w:rPr>
      </w:pPr>
      <w:r>
        <w:rPr>
          <w:rFonts w:ascii="David" w:hAnsi="David" w:cs="David"/>
          <w:b/>
          <w:bCs/>
          <w:sz w:val="24"/>
          <w:szCs w:val="24"/>
          <w:u w:val="single"/>
          <w:rtl/>
        </w:rPr>
        <w:t>חלופה שניה - איזון הזכויות בתאריך הבשלתן:</w:t>
      </w:r>
    </w:p>
    <w:p w:rsidR="00431038" w:rsidRDefault="00431038" w:rsidP="00431038">
      <w:pPr>
        <w:pStyle w:val="aa"/>
        <w:numPr>
          <w:ilvl w:val="1"/>
          <w:numId w:val="4"/>
        </w:numPr>
        <w:spacing w:line="360" w:lineRule="auto"/>
        <w:jc w:val="both"/>
        <w:rPr>
          <w:rFonts w:ascii="David" w:hAnsi="David" w:cs="David"/>
          <w:sz w:val="24"/>
          <w:szCs w:val="24"/>
        </w:rPr>
      </w:pPr>
      <w:r>
        <w:rPr>
          <w:rFonts w:ascii="David" w:hAnsi="David" w:cs="David"/>
          <w:sz w:val="24"/>
          <w:szCs w:val="24"/>
          <w:rtl/>
        </w:rPr>
        <w:t>סה"כ זכויות הנתבע 503,872 ₪, ומכאן נקבע חלקה התובעת בסך 251,936</w:t>
      </w:r>
      <w:r>
        <w:rPr>
          <w:rFonts w:ascii="David" w:hAnsi="David" w:cs="David"/>
          <w:b/>
          <w:bCs/>
          <w:sz w:val="24"/>
          <w:szCs w:val="24"/>
          <w:rtl/>
        </w:rPr>
        <w:t xml:space="preserve"> </w:t>
      </w:r>
      <w:r>
        <w:rPr>
          <w:rFonts w:ascii="David" w:hAnsi="David" w:cs="David"/>
          <w:sz w:val="24"/>
          <w:szCs w:val="24"/>
          <w:rtl/>
        </w:rPr>
        <w:t xml:space="preserve">₪. </w:t>
      </w:r>
    </w:p>
    <w:p w:rsidR="00431038" w:rsidRDefault="00431038" w:rsidP="00431038">
      <w:pPr>
        <w:pStyle w:val="aa"/>
        <w:spacing w:line="360" w:lineRule="auto"/>
        <w:ind w:left="1440"/>
        <w:jc w:val="both"/>
        <w:rPr>
          <w:rFonts w:ascii="David" w:hAnsi="David" w:cs="David"/>
          <w:sz w:val="24"/>
          <w:szCs w:val="24"/>
          <w:u w:val="single"/>
        </w:rPr>
      </w:pPr>
      <w:r>
        <w:rPr>
          <w:rFonts w:ascii="David" w:hAnsi="David" w:cs="David"/>
          <w:sz w:val="24"/>
          <w:szCs w:val="24"/>
          <w:u w:val="single"/>
          <w:rtl/>
        </w:rPr>
        <w:t>בנוסף</w:t>
      </w:r>
      <w:r>
        <w:rPr>
          <w:rFonts w:ascii="David" w:hAnsi="David" w:cs="David"/>
          <w:sz w:val="24"/>
          <w:szCs w:val="24"/>
          <w:rtl/>
        </w:rPr>
        <w:t xml:space="preserve">, הנתבע ישלם לתובעת פיצוי חודשי בגין נכסי הקריירה והפרשי ההשתכרות, בסך של 1,850 ₪ למשך 60 חודשים (בהתבסס על מזונות בסך 3,600 ₪). סה"כ הערך המהוון של הפיצוי יהא בסך של  102,945 ₪. ככל שבית המשפט יורה על קיזוז מרכיב זה, יופחת סך הפיצוי החודשי בסך של 279 ש"ח עבור כל 1,000 ₪; </w:t>
      </w:r>
      <w:r>
        <w:rPr>
          <w:rFonts w:ascii="David" w:hAnsi="David" w:cs="David"/>
          <w:sz w:val="24"/>
          <w:szCs w:val="24"/>
          <w:u w:val="single"/>
          <w:rtl/>
        </w:rPr>
        <w:lastRenderedPageBreak/>
        <w:t>לחילופין</w:t>
      </w:r>
      <w:r>
        <w:rPr>
          <w:rFonts w:ascii="David" w:hAnsi="David" w:cs="David"/>
          <w:sz w:val="24"/>
          <w:szCs w:val="24"/>
          <w:rtl/>
        </w:rPr>
        <w:t xml:space="preserve"> ניתן לפרוס את הסכום לתקופה ארוכה יותר, כשהסכום יישא ריבית בשיעור  3% (כאמור בסעיף ב.1.1 בעמ' 3). </w:t>
      </w:r>
    </w:p>
    <w:p w:rsidR="00431038" w:rsidRDefault="00431038" w:rsidP="00431038">
      <w:pPr>
        <w:pStyle w:val="aa"/>
        <w:numPr>
          <w:ilvl w:val="1"/>
          <w:numId w:val="4"/>
        </w:numPr>
        <w:spacing w:line="360" w:lineRule="auto"/>
        <w:jc w:val="both"/>
        <w:rPr>
          <w:rFonts w:ascii="David" w:hAnsi="David" w:cs="David"/>
          <w:b/>
          <w:bCs/>
          <w:sz w:val="24"/>
          <w:szCs w:val="24"/>
          <w:u w:val="single"/>
        </w:rPr>
      </w:pPr>
      <w:r>
        <w:rPr>
          <w:rFonts w:ascii="David" w:hAnsi="David" w:cs="David"/>
          <w:sz w:val="24"/>
          <w:szCs w:val="24"/>
          <w:rtl/>
        </w:rPr>
        <w:t>חלקה של התובעת בשווי עסקו של הנתבע יהא בסך של 43,079 ₪ (כאמור בפרק י' לחוות הדעת, הדן בהערכת שווי העסק).</w:t>
      </w:r>
    </w:p>
    <w:p w:rsidR="00431038" w:rsidRDefault="00431038" w:rsidP="00431038">
      <w:pPr>
        <w:pStyle w:val="aa"/>
        <w:numPr>
          <w:ilvl w:val="1"/>
          <w:numId w:val="4"/>
        </w:numPr>
        <w:spacing w:line="360" w:lineRule="auto"/>
        <w:jc w:val="both"/>
        <w:rPr>
          <w:rFonts w:ascii="David" w:hAnsi="David" w:cs="David"/>
          <w:b/>
          <w:bCs/>
          <w:sz w:val="24"/>
          <w:szCs w:val="24"/>
          <w:u w:val="single"/>
        </w:rPr>
      </w:pPr>
      <w:r>
        <w:rPr>
          <w:rFonts w:ascii="David" w:hAnsi="David" w:cs="David"/>
          <w:sz w:val="24"/>
          <w:szCs w:val="24"/>
          <w:rtl/>
        </w:rPr>
        <w:t xml:space="preserve">בני הזוג יחלקו ביניהם את החוב בחשבון המשותף (כאמור בסעיף ח' לחוות הדעת). </w:t>
      </w:r>
    </w:p>
    <w:p w:rsidR="00431038" w:rsidRDefault="00431038" w:rsidP="00431038">
      <w:pPr>
        <w:spacing w:line="360" w:lineRule="auto"/>
        <w:ind w:left="720"/>
        <w:jc w:val="both"/>
        <w:rPr>
          <w:rFonts w:ascii="David" w:hAnsi="David"/>
        </w:rPr>
      </w:pPr>
      <w:r>
        <w:rPr>
          <w:rFonts w:ascii="David" w:hAnsi="David"/>
          <w:b/>
          <w:bCs/>
          <w:u w:val="single"/>
          <w:rtl/>
        </w:rPr>
        <w:t>חוות הדעת השנייה והמעודכנת</w:t>
      </w:r>
      <w:r>
        <w:rPr>
          <w:rFonts w:ascii="David" w:hAnsi="David"/>
          <w:u w:val="single"/>
          <w:rtl/>
        </w:rPr>
        <w:t xml:space="preserve"> </w:t>
      </w:r>
      <w:r>
        <w:rPr>
          <w:rFonts w:ascii="David" w:hAnsi="David"/>
          <w:b/>
          <w:bCs/>
          <w:u w:val="single"/>
          <w:rtl/>
        </w:rPr>
        <w:t>מיום 30.9.21 (הוגשה לתיק ביום 2.1.21 בצירוף לתשובות המומחה לשאלות הבהרה של האיש) (להלן: "חו"ד השנייה"):</w:t>
      </w:r>
    </w:p>
    <w:p w:rsidR="00431038" w:rsidRDefault="00431038" w:rsidP="00431038">
      <w:pPr>
        <w:ind w:left="720"/>
        <w:jc w:val="both"/>
        <w:rPr>
          <w:rFonts w:ascii="David" w:hAnsi="David"/>
        </w:rPr>
      </w:pPr>
    </w:p>
    <w:p w:rsidR="00431038" w:rsidRDefault="00431038" w:rsidP="00431038">
      <w:pPr>
        <w:pStyle w:val="aa"/>
        <w:numPr>
          <w:ilvl w:val="0"/>
          <w:numId w:val="5"/>
        </w:numPr>
        <w:spacing w:line="360" w:lineRule="auto"/>
        <w:jc w:val="both"/>
        <w:rPr>
          <w:rFonts w:ascii="David" w:hAnsi="David" w:cs="David"/>
          <w:b/>
          <w:bCs/>
          <w:sz w:val="24"/>
          <w:szCs w:val="24"/>
        </w:rPr>
      </w:pPr>
      <w:r>
        <w:rPr>
          <w:rFonts w:ascii="David" w:hAnsi="David" w:cs="David"/>
          <w:b/>
          <w:bCs/>
          <w:sz w:val="24"/>
          <w:szCs w:val="24"/>
          <w:u w:val="single"/>
          <w:rtl/>
        </w:rPr>
        <w:t>חלופה ראשונה - איזון הזכויות ליום חוות הדעת:</w:t>
      </w:r>
      <w:r>
        <w:rPr>
          <w:rFonts w:ascii="David" w:hAnsi="David" w:cs="David"/>
          <w:b/>
          <w:bCs/>
          <w:sz w:val="24"/>
          <w:szCs w:val="24"/>
          <w:rtl/>
        </w:rPr>
        <w:t xml:space="preserve"> </w:t>
      </w:r>
    </w:p>
    <w:p w:rsidR="00431038" w:rsidRDefault="00431038" w:rsidP="00431038">
      <w:pPr>
        <w:pStyle w:val="aa"/>
        <w:numPr>
          <w:ilvl w:val="1"/>
          <w:numId w:val="5"/>
        </w:numPr>
        <w:spacing w:line="360" w:lineRule="auto"/>
        <w:jc w:val="both"/>
        <w:rPr>
          <w:rFonts w:ascii="David" w:hAnsi="David" w:cs="David"/>
          <w:b/>
          <w:bCs/>
          <w:sz w:val="24"/>
          <w:szCs w:val="24"/>
          <w:rtl/>
        </w:rPr>
      </w:pPr>
      <w:r>
        <w:rPr>
          <w:rFonts w:ascii="David" w:hAnsi="David" w:cs="David"/>
          <w:sz w:val="24"/>
          <w:szCs w:val="24"/>
          <w:rtl/>
        </w:rPr>
        <w:t xml:space="preserve">הנתבע יעביר לתובעת סכום חד פעמי (מהוון)  בסך של 158,937 ₪. </w:t>
      </w:r>
      <w:r>
        <w:rPr>
          <w:rFonts w:ascii="David" w:hAnsi="David" w:cs="David"/>
          <w:sz w:val="24"/>
          <w:szCs w:val="24"/>
          <w:u w:val="single"/>
          <w:rtl/>
        </w:rPr>
        <w:t>בנוסף:</w:t>
      </w:r>
      <w:r>
        <w:rPr>
          <w:rFonts w:ascii="David" w:hAnsi="David" w:cs="David"/>
          <w:sz w:val="24"/>
          <w:szCs w:val="24"/>
          <w:rtl/>
        </w:rPr>
        <w:t xml:space="preserve"> ישלם  פיצוי חודשי בגין נכסי קריירה והפרשי ההשתכרות בסך של 1,153 ₪ לחודש,  לתקופה  של 5 שנים (60 חודשים), וזאת לאור פס"ד בתביעת המזונות בהתאם לו חויב במזונות קטינים בסך 6,100 ₪ לחודש. סה"כ הערך המהוון של הפיצוי, הינו בסך 64,151 ₪. </w:t>
      </w:r>
      <w:r>
        <w:rPr>
          <w:rFonts w:ascii="David" w:hAnsi="David" w:cs="David"/>
          <w:sz w:val="24"/>
          <w:szCs w:val="24"/>
          <w:u w:val="single"/>
          <w:rtl/>
        </w:rPr>
        <w:t>לחילופין</w:t>
      </w:r>
      <w:r>
        <w:rPr>
          <w:rFonts w:ascii="David" w:hAnsi="David" w:cs="David"/>
          <w:sz w:val="24"/>
          <w:szCs w:val="24"/>
          <w:rtl/>
        </w:rPr>
        <w:t xml:space="preserve">, ובהתאם להחלטת בית משפט, ניתן לפרוס את הסכום לתקופה ארוכה יותר, כשהסכום יישא ריבית בשיעור 3% לשנה.  </w:t>
      </w:r>
    </w:p>
    <w:p w:rsidR="00431038" w:rsidRDefault="00431038" w:rsidP="00431038">
      <w:pPr>
        <w:pStyle w:val="aa"/>
        <w:numPr>
          <w:ilvl w:val="1"/>
          <w:numId w:val="5"/>
        </w:numPr>
        <w:spacing w:line="360" w:lineRule="auto"/>
        <w:jc w:val="both"/>
        <w:rPr>
          <w:rFonts w:ascii="David" w:hAnsi="David" w:cs="David"/>
          <w:b/>
          <w:bCs/>
          <w:sz w:val="24"/>
          <w:szCs w:val="24"/>
          <w:rtl/>
        </w:rPr>
      </w:pPr>
      <w:r>
        <w:rPr>
          <w:rFonts w:ascii="David" w:hAnsi="David" w:cs="David"/>
          <w:sz w:val="24"/>
          <w:szCs w:val="24"/>
          <w:rtl/>
        </w:rPr>
        <w:t>חלקה של התובעת בשווי עסקו של הנתבע יהא בסך של 43,079 ₪ (כאמור בפרק י' לחוות הדעת, הדן בהערכת שווי העסק).</w:t>
      </w:r>
    </w:p>
    <w:p w:rsidR="00431038" w:rsidRDefault="00431038" w:rsidP="00431038">
      <w:pPr>
        <w:pStyle w:val="aa"/>
        <w:numPr>
          <w:ilvl w:val="1"/>
          <w:numId w:val="5"/>
        </w:numPr>
        <w:spacing w:line="360" w:lineRule="auto"/>
        <w:jc w:val="both"/>
        <w:rPr>
          <w:rFonts w:ascii="David" w:hAnsi="David" w:cs="David"/>
          <w:b/>
          <w:bCs/>
          <w:sz w:val="24"/>
          <w:szCs w:val="24"/>
          <w:rtl/>
        </w:rPr>
      </w:pPr>
      <w:r>
        <w:rPr>
          <w:rFonts w:ascii="David" w:hAnsi="David" w:cs="David"/>
          <w:sz w:val="24"/>
          <w:szCs w:val="24"/>
          <w:rtl/>
        </w:rPr>
        <w:t>בני הזוג יחלקו את החוב בחשבון המשותף (כאמור בסעיף ח' לחוות הדעת הראשונה 34,602 ₪ לכל אחד מהצדדים).</w:t>
      </w:r>
    </w:p>
    <w:p w:rsidR="00431038" w:rsidRDefault="00431038" w:rsidP="00431038">
      <w:pPr>
        <w:pStyle w:val="aa"/>
        <w:spacing w:line="240" w:lineRule="auto"/>
        <w:jc w:val="both"/>
        <w:rPr>
          <w:rFonts w:ascii="David" w:hAnsi="David" w:cs="David"/>
          <w:sz w:val="24"/>
          <w:szCs w:val="24"/>
        </w:rPr>
      </w:pPr>
    </w:p>
    <w:p w:rsidR="00431038" w:rsidRDefault="00431038" w:rsidP="00431038">
      <w:pPr>
        <w:pStyle w:val="aa"/>
        <w:numPr>
          <w:ilvl w:val="0"/>
          <w:numId w:val="5"/>
        </w:numPr>
        <w:spacing w:line="360" w:lineRule="auto"/>
        <w:jc w:val="both"/>
        <w:rPr>
          <w:rFonts w:ascii="David" w:hAnsi="David" w:cs="David"/>
          <w:b/>
          <w:bCs/>
          <w:sz w:val="24"/>
          <w:szCs w:val="24"/>
        </w:rPr>
      </w:pPr>
      <w:r>
        <w:rPr>
          <w:rFonts w:ascii="David" w:hAnsi="David" w:cs="David"/>
          <w:b/>
          <w:bCs/>
          <w:sz w:val="24"/>
          <w:szCs w:val="24"/>
          <w:u w:val="single"/>
          <w:rtl/>
        </w:rPr>
        <w:t>חלופה שניה - איזון הזכויות בתאריך הבשלתן:</w:t>
      </w:r>
    </w:p>
    <w:p w:rsidR="00431038" w:rsidRDefault="00431038" w:rsidP="00431038">
      <w:pPr>
        <w:pStyle w:val="aa"/>
        <w:numPr>
          <w:ilvl w:val="1"/>
          <w:numId w:val="5"/>
        </w:numPr>
        <w:spacing w:line="360" w:lineRule="auto"/>
        <w:jc w:val="both"/>
        <w:rPr>
          <w:rFonts w:ascii="David" w:hAnsi="David" w:cs="David"/>
          <w:b/>
          <w:bCs/>
          <w:sz w:val="24"/>
          <w:szCs w:val="24"/>
        </w:rPr>
      </w:pPr>
      <w:r>
        <w:rPr>
          <w:rFonts w:ascii="David" w:hAnsi="David" w:cs="David"/>
          <w:sz w:val="24"/>
          <w:szCs w:val="24"/>
          <w:rtl/>
        </w:rPr>
        <w:t>חלקה של התובעת בזכויות הנתבע 236,789 ₪; חלקו של הנתבע בזכויות התובעת 6,541 ₪.</w:t>
      </w:r>
    </w:p>
    <w:p w:rsidR="00431038" w:rsidRDefault="00431038" w:rsidP="00431038">
      <w:pPr>
        <w:pStyle w:val="aa"/>
        <w:spacing w:line="360" w:lineRule="auto"/>
        <w:ind w:left="1440"/>
        <w:jc w:val="both"/>
        <w:rPr>
          <w:rFonts w:ascii="David" w:hAnsi="David" w:cs="David"/>
          <w:b/>
          <w:bCs/>
          <w:sz w:val="24"/>
          <w:szCs w:val="24"/>
        </w:rPr>
      </w:pPr>
      <w:r>
        <w:rPr>
          <w:rFonts w:ascii="David" w:hAnsi="David" w:cs="David"/>
          <w:sz w:val="24"/>
          <w:szCs w:val="24"/>
          <w:u w:val="single"/>
          <w:rtl/>
        </w:rPr>
        <w:t>בנוסף:</w:t>
      </w:r>
      <w:r>
        <w:rPr>
          <w:rFonts w:ascii="David" w:hAnsi="David" w:cs="David"/>
          <w:sz w:val="24"/>
          <w:szCs w:val="24"/>
          <w:rtl/>
        </w:rPr>
        <w:t xml:space="preserve"> הנתבע ישלם לתובעת פיצוי חודשי בגין נכסי הקריירה והפרשי ההשתכרות, בסך 1,153 ₪ לחודש, לתקופה של 5 שנים (60 חודשים), וזאת לאור  הוראות פס"ד בתביעת המזונות בהתאם לו חוייב במזונות הקטינים בסך  6,100 ₪ לחודש. סה"כ הערך המהוון של הפיצוי יהא  בסך 64,151 ₪.  </w:t>
      </w:r>
    </w:p>
    <w:p w:rsidR="00431038" w:rsidRDefault="00431038" w:rsidP="00431038">
      <w:pPr>
        <w:pStyle w:val="aa"/>
        <w:spacing w:line="360" w:lineRule="auto"/>
        <w:ind w:left="1440"/>
        <w:jc w:val="both"/>
        <w:rPr>
          <w:rFonts w:ascii="David" w:hAnsi="David" w:cs="David"/>
          <w:b/>
          <w:bCs/>
          <w:sz w:val="24"/>
          <w:szCs w:val="24"/>
        </w:rPr>
      </w:pPr>
      <w:r>
        <w:rPr>
          <w:rFonts w:ascii="David" w:hAnsi="David" w:cs="David"/>
          <w:sz w:val="24"/>
          <w:szCs w:val="24"/>
          <w:u w:val="single"/>
          <w:rtl/>
        </w:rPr>
        <w:t>לחילופין</w:t>
      </w:r>
      <w:r>
        <w:rPr>
          <w:rFonts w:ascii="David" w:hAnsi="David" w:cs="David"/>
          <w:sz w:val="24"/>
          <w:szCs w:val="24"/>
          <w:rtl/>
        </w:rPr>
        <w:t xml:space="preserve"> ובהתאם להחלטת כב' ביהמ"ש, ניתן לפרוס את הסכום לתקופה ארוכה יותר כשהסכום יישא ריבית בשיעור  3% לשנה. </w:t>
      </w:r>
    </w:p>
    <w:p w:rsidR="00431038" w:rsidRDefault="00431038" w:rsidP="00431038">
      <w:pPr>
        <w:pStyle w:val="aa"/>
        <w:numPr>
          <w:ilvl w:val="1"/>
          <w:numId w:val="5"/>
        </w:numPr>
        <w:spacing w:line="360" w:lineRule="auto"/>
        <w:jc w:val="both"/>
        <w:rPr>
          <w:rFonts w:ascii="David" w:hAnsi="David" w:cs="David"/>
          <w:b/>
          <w:bCs/>
          <w:sz w:val="24"/>
          <w:szCs w:val="24"/>
        </w:rPr>
      </w:pPr>
      <w:r>
        <w:rPr>
          <w:rFonts w:ascii="David" w:hAnsi="David" w:cs="David"/>
          <w:sz w:val="24"/>
          <w:szCs w:val="24"/>
          <w:rtl/>
        </w:rPr>
        <w:t>חלקה של התובעת בשווי עסקו של הנתבע יהא בסך של 43,079 ₪ (כאמור בפרק י' לחוות הדעת, הדן בהערכת שווי העסק).</w:t>
      </w:r>
    </w:p>
    <w:p w:rsidR="00431038" w:rsidRDefault="00431038" w:rsidP="00431038">
      <w:pPr>
        <w:pStyle w:val="aa"/>
        <w:numPr>
          <w:ilvl w:val="1"/>
          <w:numId w:val="5"/>
        </w:numPr>
        <w:spacing w:line="360" w:lineRule="auto"/>
        <w:jc w:val="both"/>
        <w:rPr>
          <w:rFonts w:ascii="David" w:hAnsi="David" w:cs="David"/>
          <w:b/>
          <w:bCs/>
          <w:sz w:val="24"/>
          <w:szCs w:val="24"/>
        </w:rPr>
      </w:pPr>
      <w:r>
        <w:rPr>
          <w:rFonts w:ascii="David" w:hAnsi="David" w:cs="David"/>
          <w:sz w:val="24"/>
          <w:szCs w:val="24"/>
          <w:rtl/>
        </w:rPr>
        <w:t>בני הזוג יחלקו את החוב בחשבון המשותף (כאמור בסעיף ח' לחוות הדעת).</w:t>
      </w:r>
      <w:r>
        <w:rPr>
          <w:rFonts w:ascii="David" w:hAnsi="David" w:cs="David"/>
          <w:sz w:val="24"/>
          <w:szCs w:val="24"/>
          <w:rtl/>
        </w:rPr>
        <w:tab/>
      </w:r>
    </w:p>
    <w:p w:rsidR="002A7D46" w:rsidRDefault="002A7D46" w:rsidP="002A7D46">
      <w:pPr>
        <w:spacing w:line="360" w:lineRule="auto"/>
        <w:jc w:val="both"/>
        <w:rPr>
          <w:rFonts w:ascii="David" w:hAnsi="David"/>
          <w:b/>
          <w:bCs/>
          <w:rtl/>
        </w:rPr>
      </w:pPr>
    </w:p>
    <w:p w:rsidR="002A7D46" w:rsidRDefault="002A7D46" w:rsidP="002A7D46">
      <w:pPr>
        <w:spacing w:line="360" w:lineRule="auto"/>
        <w:jc w:val="both"/>
        <w:rPr>
          <w:rFonts w:ascii="David" w:hAnsi="David"/>
          <w:b/>
          <w:bCs/>
          <w:rtl/>
        </w:rPr>
      </w:pPr>
    </w:p>
    <w:p w:rsidR="002A7D46" w:rsidRPr="002A7D46" w:rsidRDefault="002A7D46" w:rsidP="002A7D46">
      <w:pPr>
        <w:spacing w:line="360" w:lineRule="auto"/>
        <w:jc w:val="both"/>
        <w:rPr>
          <w:rFonts w:ascii="David" w:hAnsi="David"/>
          <w:b/>
          <w:bCs/>
          <w:rtl/>
        </w:rPr>
      </w:pPr>
    </w:p>
    <w:p w:rsidR="00431038" w:rsidRDefault="00431038" w:rsidP="00431038">
      <w:pPr>
        <w:spacing w:line="360" w:lineRule="auto"/>
        <w:jc w:val="both"/>
        <w:rPr>
          <w:rFonts w:ascii="David" w:hAnsi="David"/>
          <w:b/>
          <w:bCs/>
          <w:sz w:val="28"/>
          <w:szCs w:val="28"/>
          <w:u w:val="single"/>
        </w:rPr>
      </w:pPr>
      <w:r>
        <w:rPr>
          <w:rFonts w:ascii="David" w:hAnsi="David"/>
          <w:b/>
          <w:bCs/>
          <w:sz w:val="28"/>
          <w:szCs w:val="28"/>
          <w:highlight w:val="lightGray"/>
          <w:u w:val="single"/>
          <w:rtl/>
        </w:rPr>
        <w:lastRenderedPageBreak/>
        <w:t>עיקר טענות הצדדים בנושאים שבמחלוקת:</w:t>
      </w:r>
      <w:r>
        <w:rPr>
          <w:rFonts w:ascii="David" w:hAnsi="David"/>
          <w:b/>
          <w:bCs/>
          <w:sz w:val="28"/>
          <w:szCs w:val="28"/>
          <w:u w:val="single"/>
          <w:rtl/>
        </w:rPr>
        <w:t xml:space="preserve"> </w:t>
      </w:r>
    </w:p>
    <w:p w:rsidR="00431038" w:rsidRDefault="00431038" w:rsidP="00431038">
      <w:pPr>
        <w:ind w:left="360"/>
        <w:jc w:val="both"/>
        <w:rPr>
          <w:rFonts w:ascii="David" w:hAnsi="David"/>
          <w:b/>
          <w:bCs/>
          <w:u w:val="single"/>
        </w:rPr>
      </w:pPr>
    </w:p>
    <w:p w:rsidR="00431038" w:rsidRDefault="00431038" w:rsidP="00431038">
      <w:pPr>
        <w:spacing w:line="360" w:lineRule="auto"/>
        <w:ind w:left="360"/>
        <w:jc w:val="both"/>
        <w:rPr>
          <w:rFonts w:ascii="David" w:hAnsi="David"/>
          <w:b/>
          <w:bCs/>
          <w:u w:val="single"/>
        </w:rPr>
      </w:pPr>
      <w:r>
        <w:rPr>
          <w:rFonts w:ascii="David" w:hAnsi="David"/>
          <w:b/>
          <w:bCs/>
          <w:u w:val="single"/>
          <w:rtl/>
        </w:rPr>
        <w:t xml:space="preserve">טענות התובעת: </w:t>
      </w:r>
    </w:p>
    <w:p w:rsidR="00431038" w:rsidRDefault="00431038" w:rsidP="002A7D46">
      <w:pPr>
        <w:pStyle w:val="aa"/>
        <w:numPr>
          <w:ilvl w:val="0"/>
          <w:numId w:val="1"/>
        </w:numPr>
        <w:spacing w:line="360" w:lineRule="auto"/>
        <w:jc w:val="both"/>
        <w:rPr>
          <w:rFonts w:ascii="David" w:hAnsi="David" w:cs="David"/>
          <w:sz w:val="24"/>
          <w:szCs w:val="24"/>
          <w:rtl/>
        </w:rPr>
      </w:pPr>
      <w:r>
        <w:rPr>
          <w:rFonts w:ascii="David" w:hAnsi="David" w:cs="David"/>
          <w:sz w:val="24"/>
          <w:szCs w:val="24"/>
          <w:u w:val="single"/>
          <w:rtl/>
        </w:rPr>
        <w:t>לעניין הכספים שקיבלה מעיזבון אביה</w:t>
      </w:r>
      <w:r>
        <w:rPr>
          <w:rFonts w:ascii="David" w:hAnsi="David" w:cs="David"/>
          <w:sz w:val="24"/>
          <w:szCs w:val="24"/>
          <w:rtl/>
        </w:rPr>
        <w:t xml:space="preserve"> גורסת שלאחר פטירתו בשנת 2009 קיבלה כספים מביטוחים שונים בסך כולל של 196,000 ₪, אותם הפקידה בחשבון בנק ספציפי שפתחה על שמה, שהינו בבעלותה הבלעדית, ומכאן שאין המדובר בכספים משותפים ברי איזון. לחשבון זה לא הייתה לנתבע כל גישה, ולא ניתן לו ייפוי כח, וכן, מהחשבון לא בוצעו כל פעולות לטובת הבית ולא נעשה בו שימוש באמצעות כרטיסי אשראי והמחאות. לאחר מכן, בשנת 2010 היא ואחיה חתמו על הסכם עזבון (נספח א' לתצהירה) לפיו הסתלקו מהירושה לטובת אמם והכספים שקיבלו יועברו אליה. הנתבע נכח בשיחות רבות בין האחים ואף  ציין בפני אמה לא פעם שהכספים יועברו אליה מיד עם ביטול השעבוד שנרשם על הכספים בגין הלוואות שנטלו. זאת ועוד, מעדותו ותשובותיו לשאלות ביהמ"ש ניתן ללמוד שהנתבע לא ידע כמה כסף יש בחשבון ומעולם לא הייתה כל כוונת שיתוף עתידית בכסף, שהיה מיועד לעבור לאמה,  כפי שעשו יתר אחיה. נוכח ויתור הנתבע על חקירת העדים מטעמה, תצהיריהם ועדויותיהם לא נסתרו על ידו.  </w:t>
      </w:r>
    </w:p>
    <w:p w:rsidR="00431038" w:rsidRDefault="00431038" w:rsidP="00431038">
      <w:pPr>
        <w:pStyle w:val="aa"/>
        <w:spacing w:line="240" w:lineRule="auto"/>
        <w:jc w:val="both"/>
        <w:rPr>
          <w:rFonts w:ascii="David" w:hAnsi="David" w:cs="David"/>
          <w:sz w:val="24"/>
          <w:szCs w:val="24"/>
          <w:rtl/>
        </w:rPr>
      </w:pPr>
    </w:p>
    <w:p w:rsidR="00431038" w:rsidRDefault="00431038" w:rsidP="00431038">
      <w:pPr>
        <w:pStyle w:val="aa"/>
        <w:numPr>
          <w:ilvl w:val="0"/>
          <w:numId w:val="1"/>
        </w:numPr>
        <w:spacing w:line="360" w:lineRule="auto"/>
        <w:jc w:val="both"/>
        <w:rPr>
          <w:rFonts w:ascii="David" w:hAnsi="David" w:cs="David"/>
          <w:sz w:val="24"/>
          <w:szCs w:val="24"/>
          <w:rtl/>
        </w:rPr>
      </w:pPr>
      <w:r>
        <w:rPr>
          <w:rFonts w:ascii="David" w:hAnsi="David" w:cs="David"/>
          <w:sz w:val="24"/>
          <w:szCs w:val="24"/>
          <w:u w:val="single"/>
          <w:rtl/>
        </w:rPr>
        <w:t>לעניין חוות הדעת בשאלת הפיצוי בגין הפרשי נכסי קריירה</w:t>
      </w:r>
      <w:r>
        <w:rPr>
          <w:rFonts w:ascii="David" w:hAnsi="David" w:cs="David"/>
          <w:sz w:val="24"/>
          <w:szCs w:val="24"/>
          <w:rtl/>
        </w:rPr>
        <w:t xml:space="preserve"> גורסת  שיש להעדיף את חוות הדעת הראשונה, שכן בהתאם לפס"ד, הנתבע משלם סכום מזונות נמוך מהסכום בו חוייב בהחלטת המזונות הזמניים. רק לאחר שהחלה לשלם שכ"ד ביום 2.12.20, הנתבע הסכים לשלם מחצית משכ"ד, ודמי המזונות נקבעו בסך 6,100 ₪ לחודש. בנוסף, יש לקבוע את דמי המזונות המתקבלים בידיה בסך של 3,600 ₪ בלבד, שכן יש לזקוף את יתרת הסכום המתקבל לטובת מדור ואחזקתו, וסך זה אינו צריך להיכלל בחישוב, כפי שקבע האקטואר, "שזה עניין שיפוטי כי זה לא מזונות". נוסף על כך, משכורתו של  הנתבע אינה 14,000 ₪ שכן האקטואר לא גילם את שווי הרכב שנזקף לטובתו, והמדובר בהטבה של 6,000 ₪ בקיזוז של ₪ 1,800 תשלום מס. אף האקטואר בחקירתו העיד שמדובר בהטבת שכר שלא הובאה בחשבון בעת עריכת חוה"ד המגדילה את שכרו לסך 18,200 ₪. כך גם תלושי השכר שהציג הנתבע בדיון אינם תואמים את דיווחיו, תוך שנמנע מלהציג תלושי שכר בהליך.</w:t>
      </w:r>
    </w:p>
    <w:p w:rsidR="00431038" w:rsidRDefault="00431038" w:rsidP="00431038">
      <w:pPr>
        <w:pStyle w:val="aa"/>
        <w:spacing w:line="240" w:lineRule="auto"/>
        <w:rPr>
          <w:rFonts w:ascii="David" w:hAnsi="David" w:cs="David"/>
          <w:sz w:val="24"/>
          <w:szCs w:val="24"/>
        </w:rPr>
      </w:pPr>
    </w:p>
    <w:p w:rsidR="00431038" w:rsidRDefault="00431038" w:rsidP="00431038">
      <w:pPr>
        <w:pStyle w:val="aa"/>
        <w:numPr>
          <w:ilvl w:val="0"/>
          <w:numId w:val="1"/>
        </w:numPr>
        <w:spacing w:line="360" w:lineRule="auto"/>
        <w:jc w:val="both"/>
        <w:rPr>
          <w:rFonts w:ascii="David" w:hAnsi="David" w:cs="David"/>
          <w:sz w:val="24"/>
          <w:szCs w:val="24"/>
        </w:rPr>
      </w:pPr>
      <w:r>
        <w:rPr>
          <w:rFonts w:ascii="David" w:hAnsi="David" w:cs="David"/>
          <w:sz w:val="24"/>
          <w:szCs w:val="24"/>
          <w:u w:val="single"/>
          <w:rtl/>
        </w:rPr>
        <w:t>לעניין חלוקה בלתי שוויונית בהתאם לסעיף 8 (2) לחוק יחסי ממון</w:t>
      </w:r>
      <w:r>
        <w:rPr>
          <w:rFonts w:ascii="David" w:hAnsi="David" w:cs="David"/>
          <w:sz w:val="24"/>
          <w:szCs w:val="24"/>
          <w:rtl/>
        </w:rPr>
        <w:t xml:space="preserve"> גורסת שפערי ההשתכרות בין הצדדים גדולים באופן משמעותי עת היא משתכרת סך של 5,000 ₪ והנתבע משתכר 18,200 ₪ בחודש. זאת ועוד, הנתבע מתגורר בבית אמו ואין לו הוצאות מחייה, כך ששכרו לאחר תשלום נותר "שלם". בנוסף, הנתבע בעל מניות בחברה והוצאות מחייתו לרבות מזון, דלק, רכב וכד' משולמות ע"י החברה. התובעת מאשרת שבמקצועה הינה מעצבת גרפית, אך לדבריה לא עבדה בתחום למעלה מעשור, ולכן אינה מוצאת עבודה במקצוע. לכך יש להוסיף שהמדובר במקצוע דינאמי מאוד, עם תוכנות חדשות ושינויים רבים, בו עוסקים לרוב אנשים צעירים. לעומת זאת, הנתבע בעל מניות בחברה, רכש ידע וניסיון עצום, עשה השתלמויות וקורסים </w:t>
      </w:r>
      <w:r>
        <w:rPr>
          <w:rFonts w:ascii="David" w:hAnsi="David" w:cs="David"/>
          <w:sz w:val="24"/>
          <w:szCs w:val="24"/>
          <w:rtl/>
        </w:rPr>
        <w:lastRenderedPageBreak/>
        <w:t>בתחומו. בנוסף, בתקופת החיים המשותפים, מתוך החלטה משותפת  מיעטה לעבוד, וכך העיד הנתבע בעצמו. עת טיפלה בילדים ובמשק הבית, ויתרה על התפתחותה המקצועית בעוד הנתבע עבד שעות רבות ונעדר מהבית. בכך, אפשרה את צמיחתו המקצועית בעסק המספק לו עד היום שכר נאה.</w:t>
      </w:r>
    </w:p>
    <w:p w:rsidR="00431038" w:rsidRDefault="00431038" w:rsidP="00431038">
      <w:pPr>
        <w:pStyle w:val="aa"/>
        <w:spacing w:line="240" w:lineRule="auto"/>
        <w:rPr>
          <w:rFonts w:ascii="David" w:hAnsi="David" w:cs="David"/>
          <w:sz w:val="24"/>
          <w:szCs w:val="24"/>
        </w:rPr>
      </w:pPr>
    </w:p>
    <w:p w:rsidR="00431038" w:rsidRDefault="00431038" w:rsidP="00431038">
      <w:pPr>
        <w:pStyle w:val="aa"/>
        <w:numPr>
          <w:ilvl w:val="0"/>
          <w:numId w:val="1"/>
        </w:numPr>
        <w:spacing w:line="360" w:lineRule="auto"/>
        <w:jc w:val="both"/>
        <w:rPr>
          <w:rFonts w:ascii="David" w:hAnsi="David" w:cs="David"/>
          <w:sz w:val="24"/>
          <w:szCs w:val="24"/>
        </w:rPr>
      </w:pPr>
      <w:r>
        <w:rPr>
          <w:rFonts w:ascii="David" w:hAnsi="David" w:cs="David"/>
          <w:sz w:val="24"/>
          <w:szCs w:val="24"/>
          <w:rtl/>
        </w:rPr>
        <w:t>מכל האמור עותרת לקבל את קביעות האקטואר בחוות הדעת הראשונה, ובהתאם להורות לו לערוך את חישוב פערי ההשתכרות לפי שכרו של הנתבע בשווי 18,200 ₪; בנוסף, עותרת להורות על חלוקה בלתי שוויונית של נכסי הצדדים; בשל עוגמת הנפש העצומה שנגרמה לה בעקבות בגידת הנתבע, יש לחייבו בשכ"ט והוצאות מוגדלים.</w:t>
      </w:r>
    </w:p>
    <w:p w:rsidR="00431038" w:rsidRDefault="00431038" w:rsidP="00431038">
      <w:pPr>
        <w:spacing w:line="360" w:lineRule="auto"/>
        <w:ind w:left="360"/>
        <w:jc w:val="both"/>
        <w:rPr>
          <w:rFonts w:ascii="David" w:hAnsi="David"/>
          <w:b/>
          <w:bCs/>
          <w:u w:val="single"/>
          <w:rtl/>
        </w:rPr>
      </w:pPr>
      <w:r>
        <w:rPr>
          <w:rFonts w:ascii="David" w:hAnsi="David"/>
          <w:b/>
          <w:bCs/>
          <w:u w:val="single"/>
          <w:rtl/>
        </w:rPr>
        <w:t xml:space="preserve">טענות הנתבע: </w:t>
      </w:r>
    </w:p>
    <w:p w:rsidR="00431038" w:rsidRDefault="00431038" w:rsidP="00431038">
      <w:pPr>
        <w:ind w:left="360"/>
        <w:jc w:val="both"/>
        <w:rPr>
          <w:rFonts w:ascii="David" w:hAnsi="David"/>
          <w:b/>
          <w:bCs/>
          <w:u w:val="single"/>
          <w:rtl/>
        </w:rPr>
      </w:pPr>
    </w:p>
    <w:p w:rsidR="00431038" w:rsidRDefault="00431038" w:rsidP="00431038">
      <w:pPr>
        <w:pStyle w:val="aa"/>
        <w:numPr>
          <w:ilvl w:val="0"/>
          <w:numId w:val="1"/>
        </w:numPr>
        <w:spacing w:line="360" w:lineRule="auto"/>
        <w:jc w:val="both"/>
        <w:rPr>
          <w:rFonts w:ascii="David" w:hAnsi="David" w:cs="David"/>
          <w:sz w:val="24"/>
          <w:szCs w:val="24"/>
        </w:rPr>
      </w:pPr>
      <w:r>
        <w:rPr>
          <w:rFonts w:ascii="David" w:hAnsi="David" w:cs="David"/>
          <w:sz w:val="24"/>
          <w:szCs w:val="24"/>
          <w:u w:val="single"/>
          <w:rtl/>
        </w:rPr>
        <w:t>לעניין הכספים שקיבלה התובעת מעיזבון אביה</w:t>
      </w:r>
      <w:r>
        <w:rPr>
          <w:rFonts w:ascii="David" w:hAnsi="David" w:cs="David"/>
          <w:sz w:val="24"/>
          <w:szCs w:val="24"/>
          <w:rtl/>
        </w:rPr>
        <w:t xml:space="preserve"> גורס שהמדובר בכספים משותפים אשר שימשו את הצדדים לנטילת הלוואות בחשבון המשותף, ויש לאזנם. כך לגרסתו, התובעת פתחה חשבון על שמה שם הופקדו הכספים מסיבות טכניות בלבד ולא בשל כוונתה להפרדת רכוש, כשם שהוא  מעולם לא חשב על הפרדה, ושילם את מלוא תשלומי המשכנתא מהכנסתו. כספי העיזבון שועבדו לטובת קבלת הלוואות לשיפוץ הבית בידיעת התובעת וברצונה, ולפחות פעמיים בזמנים שונים היא חתמה על מסמכי שעבוד מכוחם ניתן היה לממש את הכספים מקום בו לא יעמדו בהחזר ההלוואות. בנוסף, בשל השיפוץ שמומן מהלוואה שכספי העיזבון שישמשו לביטחונה, הבית נמכר בתשואה גבוהה. זאת ועוד, חרף הסכם העיזבון שהוצג, ניתן צו ירושה לפיו עיזבון המנוח חולק עפ"י דין ללא הסתלקויות של מי מהיורשים. כמו כן, חרף טענת התובעת שסוכם על החזרת הכספים לאימה בשנת 2010, העבירה לאמה את הכספים רק בשנת 2018 בסמוך לפתיחת ההליכים ולפרידת הצדדים, אף שיכלה להעבירם כבר בשנת 2016, כשבוטל השעבוד. לגרסתו, ויתר על חקירת העדים מאחר ותשובותיה של התובעת הספיקו לסתירת טענותיה.</w:t>
      </w:r>
    </w:p>
    <w:p w:rsidR="00431038" w:rsidRDefault="00431038" w:rsidP="00431038">
      <w:pPr>
        <w:pStyle w:val="aa"/>
        <w:spacing w:line="240" w:lineRule="auto"/>
        <w:jc w:val="both"/>
        <w:rPr>
          <w:rFonts w:ascii="David" w:hAnsi="David" w:cs="David"/>
          <w:sz w:val="24"/>
          <w:szCs w:val="24"/>
          <w:rtl/>
        </w:rPr>
      </w:pPr>
    </w:p>
    <w:p w:rsidR="00431038" w:rsidRDefault="00431038" w:rsidP="00431038">
      <w:pPr>
        <w:pStyle w:val="aa"/>
        <w:numPr>
          <w:ilvl w:val="0"/>
          <w:numId w:val="1"/>
        </w:numPr>
        <w:spacing w:line="360" w:lineRule="auto"/>
        <w:jc w:val="both"/>
        <w:rPr>
          <w:rFonts w:ascii="David" w:hAnsi="David" w:cs="David"/>
          <w:sz w:val="24"/>
          <w:szCs w:val="24"/>
          <w:rtl/>
        </w:rPr>
      </w:pPr>
      <w:r>
        <w:rPr>
          <w:rFonts w:ascii="David" w:hAnsi="David" w:cs="David"/>
          <w:sz w:val="24"/>
          <w:szCs w:val="24"/>
          <w:u w:val="single"/>
          <w:rtl/>
        </w:rPr>
        <w:t>לעניין חוות הדעת בשאלת הפיצוי בגין הפרשי נכסי קריירה</w:t>
      </w:r>
      <w:r>
        <w:rPr>
          <w:rFonts w:ascii="David" w:hAnsi="David" w:cs="David"/>
          <w:sz w:val="24"/>
          <w:szCs w:val="24"/>
          <w:rtl/>
        </w:rPr>
        <w:t xml:space="preserve"> גורס שהסכום הצריך לחישוב הפיצוי הינו עפ"י פסה"ד מיום 20.12.20 הקובע את מזונות הקטינים בסך  של 6,100 ₪ לחודש, ובשל כך, שינה המומחה את קביעתו. בנוסף, פסה"ד בשאלת המזונות ניתן על בסיס הסכמות הצדדים, ומשכך, לא ברורות טענות התובעת הסותרות את הסכמותיה. זאת ועוד, בניגוד לטענותיה, האקטואר לא קבע שתוספת המדור אינה נכללת בפסיקת המזונות, אלא שעל ביהמ"ש להכריע בכך. לעניין גובה שכרו טוען שהטבת שווי הרכב הינה הטבה רעיונית בלבד, ומעבר לכך, הרכב שירת את שני הצדדים ולא הופקה ממנו הטבה מיוחדת. </w:t>
      </w:r>
    </w:p>
    <w:p w:rsidR="00431038" w:rsidRDefault="00431038" w:rsidP="00431038">
      <w:pPr>
        <w:pStyle w:val="aa"/>
        <w:spacing w:line="240" w:lineRule="auto"/>
        <w:jc w:val="both"/>
        <w:rPr>
          <w:rFonts w:ascii="David" w:hAnsi="David" w:cs="David"/>
          <w:sz w:val="24"/>
          <w:szCs w:val="24"/>
        </w:rPr>
      </w:pPr>
    </w:p>
    <w:p w:rsidR="00431038" w:rsidRDefault="00431038" w:rsidP="00431038">
      <w:pPr>
        <w:pStyle w:val="aa"/>
        <w:numPr>
          <w:ilvl w:val="0"/>
          <w:numId w:val="1"/>
        </w:numPr>
        <w:spacing w:line="360" w:lineRule="auto"/>
        <w:jc w:val="both"/>
        <w:rPr>
          <w:rFonts w:ascii="David" w:hAnsi="David" w:cs="David"/>
          <w:sz w:val="24"/>
          <w:szCs w:val="24"/>
        </w:rPr>
      </w:pPr>
      <w:r>
        <w:rPr>
          <w:rFonts w:ascii="David" w:hAnsi="David" w:cs="David"/>
          <w:sz w:val="24"/>
          <w:szCs w:val="24"/>
          <w:u w:val="single"/>
          <w:rtl/>
        </w:rPr>
        <w:t>לעניין טענות התובעת לחלוקה בלתי שוויונית בהתאם לסעיף 8 (2) לחוק יחסי ממון</w:t>
      </w:r>
      <w:r>
        <w:rPr>
          <w:rFonts w:ascii="David" w:hAnsi="David" w:cs="David"/>
          <w:sz w:val="24"/>
          <w:szCs w:val="24"/>
          <w:rtl/>
        </w:rPr>
        <w:t xml:space="preserve">, גורס שיש לדחות את הטענה, שכן לא הוכיחה קיומם של שלושה תנאים מצטברים כקבוע בפסיקה (מפנה לבע"מ 4623/04, ס' 22 לפסה"ד), ובכלל זה שיש פער מהותי בהשתכרות ממועד הנישואין לעומת מועד הפירוד; שיש פער מהותי בהשתכרות הצדדים במועד הפירוד; שהפערים הינם כתוצאה מוויתור שעשתה והפיכתה ל"בת זוג ביתית", באופן שנגרע מכושר השתכרותה לטובת </w:t>
      </w:r>
      <w:r>
        <w:rPr>
          <w:rFonts w:ascii="David" w:hAnsi="David" w:cs="David"/>
          <w:sz w:val="24"/>
          <w:szCs w:val="24"/>
          <w:rtl/>
        </w:rPr>
        <w:lastRenderedPageBreak/>
        <w:t xml:space="preserve">צבירת כושר השתכרותו כ"בן זוג קרייריסטי". לטענתו, הפער בהכנסות הצדדים נוצר מאחר והתובעת סירבה לצאת לעבוד, ואף בהשתלמויות וקורסים לא טרחה להשתתף. כך גם התובעת לא ראתה את טובת הבית לנגד עיניה, אלא את טובתה האישית, והיה לה נוח להתבטל ולשבת בבית מבלי לדאוג לארוחה חמה או בגד נקי לילדים, תוך שהבית תמיד היה מבולגן ומלוכלך. לדידו, ההחלטה המשותפת שהתובעת תישאר בבית התקבלה רק כאשר הילדים היו ללא מסגרות. בנוסף, התובעת העידה שיכלה לעבוד במקצועה ולהשתכר סך 7,000 ₪ נטו, אך מעולם, ועד היום אינה מממשת את פוטנציאל השתכרותה. מעבר לאמור, אין פער משמעותי המצדיק חלוקה בלתי שיוונית, הגם שהתובעת בעלת תואר והוא לא, ומכאן באפשרותה לבנות קריירה מפוארת. מטעים הנתבע שהצלחתו הינה פרי כישוריו המולדים, וכיום פעילותו העסקית הסתיימה והוא בחדלות פירעון (סעיף 23 לסיכומיו). עוד טוען, שכבר בוצעה חלוקה בלתי שוויונית במיטלטלין בעוד התובעת קיבלה את רוב הציוד המשותף בשווי מוערך של 20,000 ₪ על הצד הנמוך. כך גם התובעת לא הוכיחה כל בגידה מצדו, וממילא אין זה רלוונטי לתביעה. </w:t>
      </w:r>
    </w:p>
    <w:p w:rsidR="00431038" w:rsidRDefault="00431038" w:rsidP="00431038">
      <w:pPr>
        <w:pStyle w:val="aa"/>
        <w:spacing w:line="240" w:lineRule="auto"/>
        <w:rPr>
          <w:rFonts w:ascii="David" w:hAnsi="David" w:cs="David"/>
          <w:sz w:val="24"/>
          <w:szCs w:val="24"/>
        </w:rPr>
      </w:pPr>
    </w:p>
    <w:p w:rsidR="00431038" w:rsidRDefault="00431038" w:rsidP="00431038">
      <w:pPr>
        <w:pStyle w:val="aa"/>
        <w:numPr>
          <w:ilvl w:val="0"/>
          <w:numId w:val="1"/>
        </w:numPr>
        <w:spacing w:line="360" w:lineRule="auto"/>
        <w:jc w:val="both"/>
        <w:rPr>
          <w:rFonts w:ascii="David" w:hAnsi="David" w:cs="David"/>
          <w:sz w:val="24"/>
          <w:szCs w:val="24"/>
        </w:rPr>
      </w:pPr>
      <w:r>
        <w:rPr>
          <w:rFonts w:ascii="David" w:hAnsi="David" w:cs="David"/>
          <w:sz w:val="24"/>
          <w:szCs w:val="24"/>
          <w:rtl/>
        </w:rPr>
        <w:t xml:space="preserve">מכל האמור עותר לדחות את תביעת התובעת לחלוקה בלתי שוויונית; לאזן את הכספים שהתקבלו בידי התובעת מעיזבון אביה; לאמץ  את חוות דעתו השנייה של המומחה. </w:t>
      </w:r>
    </w:p>
    <w:p w:rsidR="00431038" w:rsidRDefault="00431038" w:rsidP="00431038">
      <w:pPr>
        <w:spacing w:line="360" w:lineRule="auto"/>
        <w:rPr>
          <w:rFonts w:ascii="David" w:hAnsi="David"/>
          <w:b/>
          <w:bCs/>
          <w:sz w:val="28"/>
          <w:szCs w:val="28"/>
          <w:u w:val="single"/>
        </w:rPr>
      </w:pPr>
      <w:r>
        <w:rPr>
          <w:rFonts w:ascii="David" w:hAnsi="David"/>
          <w:b/>
          <w:bCs/>
          <w:sz w:val="28"/>
          <w:szCs w:val="28"/>
          <w:highlight w:val="lightGray"/>
          <w:u w:val="single"/>
          <w:rtl/>
        </w:rPr>
        <w:t>ראיות עליהן נסמכו הצדדים;</w:t>
      </w:r>
    </w:p>
    <w:p w:rsidR="00431038" w:rsidRDefault="00431038" w:rsidP="00431038">
      <w:pPr>
        <w:pStyle w:val="aa"/>
        <w:spacing w:line="240" w:lineRule="auto"/>
        <w:jc w:val="both"/>
        <w:rPr>
          <w:rFonts w:ascii="David" w:hAnsi="David" w:cs="David"/>
          <w:sz w:val="24"/>
          <w:szCs w:val="24"/>
        </w:rPr>
      </w:pPr>
    </w:p>
    <w:p w:rsidR="00431038" w:rsidRDefault="00431038" w:rsidP="00431038">
      <w:pPr>
        <w:pStyle w:val="aa"/>
        <w:numPr>
          <w:ilvl w:val="0"/>
          <w:numId w:val="1"/>
        </w:numPr>
        <w:spacing w:line="360" w:lineRule="auto"/>
        <w:jc w:val="both"/>
        <w:rPr>
          <w:rFonts w:ascii="David" w:hAnsi="David" w:cs="David"/>
          <w:sz w:val="24"/>
          <w:szCs w:val="24"/>
          <w:rtl/>
        </w:rPr>
      </w:pPr>
      <w:r>
        <w:rPr>
          <w:rFonts w:ascii="David" w:hAnsi="David" w:cs="David"/>
          <w:b/>
          <w:bCs/>
          <w:sz w:val="24"/>
          <w:szCs w:val="24"/>
          <w:u w:val="single"/>
          <w:rtl/>
        </w:rPr>
        <w:t>התובעת</w:t>
      </w:r>
      <w:r>
        <w:rPr>
          <w:rFonts w:ascii="David" w:hAnsi="David" w:cs="David"/>
          <w:sz w:val="24"/>
          <w:szCs w:val="24"/>
          <w:rtl/>
        </w:rPr>
        <w:t xml:space="preserve"> צירפה ראיות שונות ובכללן: תצהיר שנערך ע"י אמה ושלושת אחיה; הסכם ויתור זכויות מיום 7.1.10; בקשה לתיקון צו הירושה משנת 2013 בצירוף תצהירי הסתלקות של האחים; דף פירוט מחשבון הבנק שפתחה ובו הופקדו כספי הירושה בסך של  178,987 ₪; אישור סגירת הכספים בחסכון ל- 30 חודשים; דף פירוט מחשבון הבנק המלמד על מועד העברת הכספים  לאמה ביום 10.7.2018; דף פירוט מחשבון הבנק של אמה בציון העברות הכספים שהעבירו לה היא ואחיה; התחייבות העברת הכספים לאמה משנת 2013; תלושי שכר עדכניים בחברת "מגה קמעונאות בע"מ" לתקופה 1/21 – 1/22.</w:t>
      </w:r>
    </w:p>
    <w:p w:rsidR="00431038" w:rsidRDefault="00431038" w:rsidP="00431038">
      <w:pPr>
        <w:pStyle w:val="aa"/>
        <w:spacing w:line="240" w:lineRule="auto"/>
        <w:ind w:left="360"/>
        <w:jc w:val="both"/>
        <w:rPr>
          <w:rFonts w:ascii="David" w:hAnsi="David" w:cs="David"/>
          <w:sz w:val="24"/>
          <w:szCs w:val="24"/>
          <w:highlight w:val="yellow"/>
          <w:rtl/>
        </w:rPr>
      </w:pPr>
    </w:p>
    <w:p w:rsidR="00431038" w:rsidRDefault="00431038" w:rsidP="009663EB">
      <w:pPr>
        <w:pStyle w:val="aa"/>
        <w:numPr>
          <w:ilvl w:val="0"/>
          <w:numId w:val="1"/>
        </w:numPr>
        <w:spacing w:line="360" w:lineRule="auto"/>
        <w:jc w:val="both"/>
        <w:rPr>
          <w:rFonts w:ascii="David" w:hAnsi="David" w:cs="David"/>
          <w:sz w:val="24"/>
          <w:szCs w:val="24"/>
        </w:rPr>
      </w:pPr>
      <w:r>
        <w:rPr>
          <w:rFonts w:ascii="David" w:hAnsi="David" w:cs="David"/>
          <w:b/>
          <w:bCs/>
          <w:sz w:val="24"/>
          <w:szCs w:val="24"/>
          <w:u w:val="single"/>
          <w:rtl/>
        </w:rPr>
        <w:t>הנתבע</w:t>
      </w:r>
      <w:r>
        <w:rPr>
          <w:rFonts w:ascii="David" w:hAnsi="David" w:cs="David"/>
          <w:sz w:val="24"/>
          <w:szCs w:val="24"/>
          <w:rtl/>
        </w:rPr>
        <w:t xml:space="preserve"> צירף  ראיות שונות ובכללן: דו"חות כספיים של החברה שבבעלותו "</w:t>
      </w:r>
      <w:r w:rsidR="009663EB">
        <w:rPr>
          <w:rFonts w:ascii="David" w:hAnsi="David" w:cs="David" w:hint="cs"/>
          <w:sz w:val="24"/>
          <w:szCs w:val="24"/>
          <w:rtl/>
        </w:rPr>
        <w:t xml:space="preserve">*** </w:t>
      </w:r>
      <w:r>
        <w:rPr>
          <w:rFonts w:ascii="David" w:hAnsi="David" w:cs="David"/>
          <w:sz w:val="24"/>
          <w:szCs w:val="24"/>
          <w:rtl/>
        </w:rPr>
        <w:t>בע"מ" לשנת 2020; פרוט כרטיסי אשראי; דפי פירוט תנועות מחשבון הבנק של התובעת "חשבון מסוג חסכון"; כתב קיזוז שנחתם ללא הגבלת סכום בחשבון התובעת; כתב קיזוז מיום 23.11.10  ע"ס 80,000 ₪ מחשבון התובעת;  בקשה להעברת הכספים לאמה של התובעת  מיום 10.7.18; צו הירושה שניתן אחר אבי התובעת ביום  4.11.2009 (להלן: "צו הירושה").</w:t>
      </w:r>
    </w:p>
    <w:p w:rsidR="00431038" w:rsidRDefault="00431038" w:rsidP="00431038">
      <w:pPr>
        <w:spacing w:line="360" w:lineRule="auto"/>
        <w:jc w:val="both"/>
        <w:rPr>
          <w:rFonts w:ascii="David" w:hAnsi="David"/>
          <w:b/>
          <w:bCs/>
          <w:sz w:val="28"/>
          <w:szCs w:val="28"/>
          <w:u w:val="single"/>
          <w:rtl/>
        </w:rPr>
      </w:pPr>
      <w:r>
        <w:rPr>
          <w:rFonts w:ascii="David" w:hAnsi="David"/>
          <w:b/>
          <w:bCs/>
          <w:sz w:val="28"/>
          <w:szCs w:val="28"/>
          <w:highlight w:val="lightGray"/>
          <w:u w:val="single"/>
          <w:rtl/>
        </w:rPr>
        <w:t>דיון והכרעה:</w:t>
      </w:r>
    </w:p>
    <w:p w:rsidR="00431038" w:rsidRDefault="00431038" w:rsidP="00431038">
      <w:pPr>
        <w:jc w:val="both"/>
        <w:rPr>
          <w:rFonts w:ascii="David" w:hAnsi="David"/>
          <w:b/>
          <w:bCs/>
          <w:sz w:val="28"/>
          <w:szCs w:val="28"/>
          <w:u w:val="single"/>
        </w:rPr>
      </w:pPr>
    </w:p>
    <w:p w:rsidR="00431038" w:rsidRDefault="00431038" w:rsidP="00431038">
      <w:pPr>
        <w:spacing w:line="360" w:lineRule="auto"/>
        <w:jc w:val="both"/>
        <w:rPr>
          <w:rFonts w:ascii="David" w:hAnsi="David"/>
          <w:rtl/>
        </w:rPr>
      </w:pPr>
      <w:r>
        <w:rPr>
          <w:rFonts w:ascii="David" w:hAnsi="David"/>
          <w:rtl/>
        </w:rPr>
        <w:t xml:space="preserve">לאחר שעיינתי בכתבי הטענות על נספחיהם ושמעתי את הצדדים והמומחה במסגרת הדיון לפניי, מצאתי לקבוע שהכספים שקיבלה התובעת מעיזבון אביה אינם ברי איזון; לאשר את חוות דעתו </w:t>
      </w:r>
      <w:r>
        <w:rPr>
          <w:rFonts w:ascii="David" w:hAnsi="David"/>
          <w:rtl/>
        </w:rPr>
        <w:lastRenderedPageBreak/>
        <w:t xml:space="preserve">השנייה של המומחה תוך תיקון סכום הפיצוי בגין הפרשי נכסי קריירה; לדחות את טענות התובעת לחלוקה בלתי שיווניות. להלן נימוקיי; </w:t>
      </w:r>
    </w:p>
    <w:p w:rsidR="00431038" w:rsidRDefault="00431038" w:rsidP="00431038">
      <w:pPr>
        <w:jc w:val="both"/>
        <w:rPr>
          <w:rFonts w:ascii="David" w:hAnsi="David"/>
          <w:rtl/>
        </w:rPr>
      </w:pPr>
    </w:p>
    <w:p w:rsidR="00431038" w:rsidRDefault="00431038" w:rsidP="00431038">
      <w:pPr>
        <w:pStyle w:val="aa"/>
        <w:numPr>
          <w:ilvl w:val="0"/>
          <w:numId w:val="1"/>
        </w:numPr>
        <w:spacing w:line="360" w:lineRule="auto"/>
        <w:jc w:val="both"/>
        <w:rPr>
          <w:rFonts w:ascii="David" w:hAnsi="David" w:cs="David"/>
          <w:b/>
          <w:bCs/>
          <w:sz w:val="28"/>
          <w:szCs w:val="28"/>
          <w:u w:val="single"/>
          <w:rtl/>
        </w:rPr>
      </w:pPr>
      <w:r>
        <w:rPr>
          <w:rFonts w:cs="David"/>
          <w:sz w:val="24"/>
          <w:szCs w:val="24"/>
          <w:rtl/>
        </w:rPr>
        <w:t xml:space="preserve">הצדדים נשאו בשנת 2001 ועל כן חל בעניינם הסדר איזון משאבים הקבוע בפרק השני לחוק יחסי ממון בין בני זוג, התשל"ג- 1973 (להלן: </w:t>
      </w:r>
      <w:r>
        <w:rPr>
          <w:rFonts w:cs="David"/>
          <w:b/>
          <w:bCs/>
          <w:sz w:val="24"/>
          <w:szCs w:val="24"/>
          <w:rtl/>
        </w:rPr>
        <w:t>"חוק יחסי ממון" או "החוק"</w:t>
      </w:r>
      <w:r>
        <w:rPr>
          <w:rFonts w:cs="David"/>
          <w:sz w:val="24"/>
          <w:szCs w:val="24"/>
          <w:rtl/>
        </w:rPr>
        <w:t xml:space="preserve">) הקובע שיתוף אובליגטורי דחוי לעת פקיעת הנישואין מחמת גירושין או פטירה של אחד מבני הזוג. </w:t>
      </w:r>
      <w:r>
        <w:rPr>
          <w:rFonts w:ascii="Arial" w:hAnsi="Arial" w:cs="David"/>
          <w:sz w:val="24"/>
          <w:szCs w:val="24"/>
          <w:rtl/>
        </w:rPr>
        <w:t>מקום שבני הזוג לא ערכו הסכם ממון ביניהם, יחול עליהם הסדר איזון המשאבים כמפורט בפרק השני לחוק.</w:t>
      </w:r>
    </w:p>
    <w:p w:rsidR="00431038" w:rsidRDefault="00431038" w:rsidP="00431038">
      <w:pPr>
        <w:pStyle w:val="aa"/>
        <w:spacing w:line="240" w:lineRule="auto"/>
        <w:ind w:left="360"/>
        <w:jc w:val="both"/>
        <w:rPr>
          <w:rFonts w:ascii="David" w:hAnsi="David" w:cs="David"/>
          <w:b/>
          <w:bCs/>
          <w:sz w:val="28"/>
          <w:szCs w:val="28"/>
          <w:u w:val="single"/>
          <w:rtl/>
        </w:rPr>
      </w:pPr>
    </w:p>
    <w:p w:rsidR="00431038" w:rsidRDefault="00431038" w:rsidP="00431038">
      <w:pPr>
        <w:pStyle w:val="aa"/>
        <w:numPr>
          <w:ilvl w:val="0"/>
          <w:numId w:val="1"/>
        </w:numPr>
        <w:spacing w:line="360" w:lineRule="auto"/>
        <w:jc w:val="both"/>
        <w:rPr>
          <w:rFonts w:ascii="David" w:hAnsi="David" w:cs="David"/>
          <w:b/>
          <w:bCs/>
          <w:sz w:val="24"/>
          <w:szCs w:val="24"/>
          <w:rtl/>
        </w:rPr>
      </w:pPr>
      <w:r>
        <w:rPr>
          <w:rFonts w:ascii="David" w:hAnsi="David" w:cs="David"/>
          <w:sz w:val="24"/>
          <w:szCs w:val="24"/>
          <w:rtl/>
        </w:rPr>
        <w:t xml:space="preserve">סעיף 5(א) לחוק יחסי ממון, קובע כי </w:t>
      </w:r>
      <w:r>
        <w:rPr>
          <w:rFonts w:ascii="David" w:hAnsi="David" w:cs="David"/>
          <w:b/>
          <w:bCs/>
          <w:sz w:val="24"/>
          <w:szCs w:val="24"/>
          <w:rtl/>
        </w:rPr>
        <w:t xml:space="preserve"> "עם התרת הנישואין או עם פקיעת הנישואין עקב מותו של בן זוג (בחוק זה – פקיעת הנישואין) זכאי כל אחד מבני הזוג למחצית שוויים של כלל נכסי בני הזוג, למעט – (1)   נכסים שהיו להם ערב הנישואין או שקיבלו במתנה או בירושה בתקופת הנישואין;"  </w:t>
      </w:r>
      <w:r>
        <w:rPr>
          <w:rFonts w:ascii="David" w:hAnsi="David" w:cs="David"/>
          <w:sz w:val="24"/>
          <w:szCs w:val="24"/>
          <w:rtl/>
        </w:rPr>
        <w:t xml:space="preserve">סעיף 5(ג) מגדיר את </w:t>
      </w:r>
      <w:r>
        <w:rPr>
          <w:rFonts w:ascii="David" w:hAnsi="David" w:cs="David"/>
          <w:b/>
          <w:bCs/>
          <w:sz w:val="24"/>
          <w:szCs w:val="24"/>
          <w:rtl/>
        </w:rPr>
        <w:t>"כלל נכסי בני הזוג" – "לרבות זכויות עתידיות לפנסיה, פיצויי פרישה, קרנות השתלמות, קופות תגמולים וחסכונות."</w:t>
      </w:r>
    </w:p>
    <w:p w:rsidR="00431038" w:rsidRDefault="00431038" w:rsidP="00431038">
      <w:pPr>
        <w:jc w:val="both"/>
        <w:rPr>
          <w:rFonts w:ascii="David" w:hAnsi="David"/>
          <w:b/>
          <w:bCs/>
        </w:rPr>
      </w:pPr>
    </w:p>
    <w:p w:rsidR="00431038" w:rsidRDefault="00431038" w:rsidP="00431038">
      <w:pPr>
        <w:pStyle w:val="aa"/>
        <w:numPr>
          <w:ilvl w:val="0"/>
          <w:numId w:val="1"/>
        </w:numPr>
        <w:spacing w:line="360" w:lineRule="auto"/>
        <w:jc w:val="both"/>
        <w:rPr>
          <w:rFonts w:ascii="David" w:hAnsi="David" w:cs="David"/>
          <w:sz w:val="24"/>
          <w:szCs w:val="24"/>
        </w:rPr>
      </w:pPr>
      <w:r>
        <w:rPr>
          <w:rFonts w:ascii="David" w:hAnsi="David" w:cs="David"/>
          <w:sz w:val="24"/>
          <w:szCs w:val="24"/>
          <w:rtl/>
        </w:rPr>
        <w:t xml:space="preserve">הצדדים חלוקים בשלוש שאלות עיקריות כמפורט לעיל; שיתוף בכספים שקיבלה התובעת מעיזבון אביה, חוות דעת האקטואר הצריכה לאיזון לעניין הפרשי השתכרות ובכלל זה השכר הקובע, ושיעור חלוקת הנכסים.  אדון בטענות אלה על פי סדרן. </w:t>
      </w:r>
    </w:p>
    <w:p w:rsidR="00431038" w:rsidRDefault="00431038" w:rsidP="00431038">
      <w:pPr>
        <w:spacing w:line="360" w:lineRule="auto"/>
        <w:jc w:val="both"/>
        <w:rPr>
          <w:rFonts w:ascii="David" w:hAnsi="David"/>
          <w:b/>
          <w:bCs/>
          <w:u w:val="single"/>
        </w:rPr>
      </w:pPr>
    </w:p>
    <w:p w:rsidR="00431038" w:rsidRDefault="00431038" w:rsidP="00431038">
      <w:pPr>
        <w:spacing w:line="360" w:lineRule="auto"/>
        <w:jc w:val="both"/>
        <w:rPr>
          <w:rFonts w:ascii="David" w:hAnsi="David"/>
          <w:b/>
          <w:bCs/>
          <w:rtl/>
        </w:rPr>
      </w:pPr>
      <w:r>
        <w:rPr>
          <w:rFonts w:ascii="David" w:hAnsi="David"/>
          <w:b/>
          <w:bCs/>
          <w:u w:val="single"/>
          <w:rtl/>
        </w:rPr>
        <w:t>האם הכספים שקיבלה התובעת מעזבון  אביה ברי איזון:</w:t>
      </w:r>
    </w:p>
    <w:p w:rsidR="00431038" w:rsidRDefault="00431038" w:rsidP="00431038">
      <w:pPr>
        <w:jc w:val="both"/>
        <w:rPr>
          <w:rFonts w:ascii="David" w:hAnsi="David"/>
          <w:b/>
          <w:bCs/>
          <w:rtl/>
        </w:rPr>
      </w:pPr>
    </w:p>
    <w:p w:rsidR="00431038" w:rsidRDefault="00431038" w:rsidP="00431038">
      <w:pPr>
        <w:pStyle w:val="aa"/>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4.11.2009 ניתן צו ירושה אחר אביה של התובעת, שנפטר ביום 28.5.2009, בהתאם לו, נקבעו יורשיו על פי דין, והם התובעת, שלושת אחיה ואמם. אין חולק בין הצדדים שלאחר חלוקת העיזבון,  התובעת קיבלה סך של </w:t>
      </w:r>
      <w:r>
        <w:rPr>
          <w:rFonts w:ascii="David" w:hAnsi="David" w:cs="David"/>
          <w:sz w:val="24"/>
          <w:szCs w:val="24"/>
        </w:rPr>
        <w:t>178,987</w:t>
      </w:r>
      <w:r>
        <w:rPr>
          <w:rFonts w:ascii="David" w:hAnsi="David" w:cs="David"/>
          <w:sz w:val="24"/>
          <w:szCs w:val="24"/>
          <w:rtl/>
        </w:rPr>
        <w:t xml:space="preserve"> ₪ אותו הפקידה בחסכון שנפתח בחשבון בנק בבעלותה, הרשום על שמה בלבד (להלן: "</w:t>
      </w:r>
      <w:r>
        <w:rPr>
          <w:rFonts w:ascii="David" w:hAnsi="David" w:cs="David"/>
          <w:b/>
          <w:bCs/>
          <w:sz w:val="24"/>
          <w:szCs w:val="24"/>
          <w:rtl/>
        </w:rPr>
        <w:t>הכסף או הכספים")</w:t>
      </w:r>
      <w:r>
        <w:rPr>
          <w:rFonts w:ascii="David" w:hAnsi="David" w:cs="David"/>
          <w:sz w:val="24"/>
          <w:szCs w:val="24"/>
          <w:rtl/>
        </w:rPr>
        <w:t xml:space="preserve">. ביום 10.7.18 העבירה התובעת לאמה מחשבון זה סך של 195,818 ₪ וזאת בהתאם להסכם חלוקת עזבון שנחתם בין היורשים, לפיו, ויתרו על כל זכות בעיזבון המנוח לטובת האם.  </w:t>
      </w:r>
    </w:p>
    <w:p w:rsidR="00431038" w:rsidRDefault="00431038" w:rsidP="00431038">
      <w:pPr>
        <w:pStyle w:val="aa"/>
        <w:spacing w:line="240" w:lineRule="auto"/>
        <w:jc w:val="both"/>
        <w:rPr>
          <w:rFonts w:ascii="David" w:hAnsi="David" w:cs="David"/>
          <w:sz w:val="24"/>
          <w:szCs w:val="24"/>
          <w:rtl/>
        </w:rPr>
      </w:pPr>
    </w:p>
    <w:p w:rsidR="00431038" w:rsidRDefault="00431038" w:rsidP="00431038">
      <w:pPr>
        <w:pStyle w:val="aa"/>
        <w:numPr>
          <w:ilvl w:val="0"/>
          <w:numId w:val="1"/>
        </w:numPr>
        <w:spacing w:line="360" w:lineRule="auto"/>
        <w:jc w:val="both"/>
        <w:rPr>
          <w:rFonts w:ascii="David" w:hAnsi="David" w:cs="David"/>
          <w:sz w:val="24"/>
          <w:szCs w:val="24"/>
          <w:rtl/>
        </w:rPr>
      </w:pPr>
      <w:r>
        <w:rPr>
          <w:rFonts w:ascii="David" w:hAnsi="David" w:cs="David"/>
          <w:sz w:val="24"/>
          <w:szCs w:val="24"/>
          <w:rtl/>
        </w:rPr>
        <w:t>עוד אין מחלקות בין הצדדים שהסכום שבמחלוקת בסך של 196,000 ₪ שהופקד בחשבון הבנק שבבעלות התובעת, מקורו מחלוקת עזבון אביה. הנתבע אישר זאת בחקירתו והצהיר:</w:t>
      </w:r>
      <w:r>
        <w:rPr>
          <w:rFonts w:ascii="David" w:hAnsi="David" w:cs="David"/>
          <w:b/>
          <w:bCs/>
          <w:sz w:val="24"/>
          <w:szCs w:val="24"/>
          <w:rtl/>
        </w:rPr>
        <w:t xml:space="preserve"> </w:t>
      </w:r>
      <w:r>
        <w:rPr>
          <w:rFonts w:ascii="FrankRuehl" w:hAnsi="FrankRuehl" w:cs="FrankRuehl"/>
          <w:b/>
          <w:bCs/>
          <w:sz w:val="24"/>
          <w:szCs w:val="24"/>
          <w:rtl/>
        </w:rPr>
        <w:t>"ידעתי בסביבות ה 200 אלף ₪. ....אני יודע שהכסף התקבל בעקבות המוות של אבא שלה. ".</w:t>
      </w:r>
      <w:r>
        <w:rPr>
          <w:rFonts w:ascii="David" w:hAnsi="David" w:cs="David"/>
          <w:b/>
          <w:bCs/>
          <w:sz w:val="24"/>
          <w:szCs w:val="24"/>
          <w:rtl/>
        </w:rPr>
        <w:t xml:space="preserve"> </w:t>
      </w:r>
      <w:r>
        <w:rPr>
          <w:rFonts w:ascii="David" w:hAnsi="David" w:cs="David"/>
          <w:sz w:val="24"/>
          <w:szCs w:val="24"/>
          <w:rtl/>
        </w:rPr>
        <w:t xml:space="preserve">(עמ' 29 לפרו' שו' 31-32) משכך, המדובר בכספים שהתקבלו בירושה בתקופת הנישואין ועפ"י סעיף 5(א) (1) לחוק, חזקה עליהם שאינם חלק  ממסת האיזון. אולם, כידוע, חזקה זו ניתנת לסתירה בתנאים שנקבעו בפסיקה, ועיקרם שיתוף או הסתמכות. </w:t>
      </w:r>
    </w:p>
    <w:p w:rsidR="00431038" w:rsidRDefault="00431038" w:rsidP="00431038">
      <w:pPr>
        <w:pStyle w:val="aa"/>
        <w:spacing w:line="240" w:lineRule="auto"/>
        <w:rPr>
          <w:rFonts w:ascii="David" w:hAnsi="David" w:cs="David"/>
          <w:sz w:val="24"/>
          <w:szCs w:val="24"/>
          <w:rtl/>
        </w:rPr>
      </w:pPr>
    </w:p>
    <w:p w:rsidR="00431038" w:rsidRDefault="00431038" w:rsidP="00431038">
      <w:pPr>
        <w:pStyle w:val="aa"/>
        <w:numPr>
          <w:ilvl w:val="0"/>
          <w:numId w:val="1"/>
        </w:numPr>
        <w:spacing w:line="360" w:lineRule="auto"/>
        <w:jc w:val="both"/>
        <w:rPr>
          <w:rFonts w:ascii="David" w:hAnsi="David" w:cs="David"/>
          <w:sz w:val="24"/>
          <w:szCs w:val="24"/>
          <w:rtl/>
        </w:rPr>
      </w:pPr>
      <w:r>
        <w:rPr>
          <w:rFonts w:ascii="David" w:hAnsi="David" w:cs="David"/>
          <w:sz w:val="24"/>
          <w:szCs w:val="24"/>
          <w:rtl/>
        </w:rPr>
        <w:t xml:space="preserve">במסגרת התשובות לשאלות ההבהרה ששלח ב"כ הנתבע, התייחס האקטואר לכספים אלה, וקבע:  </w:t>
      </w:r>
      <w:r>
        <w:rPr>
          <w:rFonts w:ascii="David" w:hAnsi="David" w:cs="David"/>
          <w:b/>
          <w:bCs/>
          <w:sz w:val="24"/>
          <w:szCs w:val="24"/>
          <w:rtl/>
        </w:rPr>
        <w:t xml:space="preserve">"העברת הכספים מחשבונה הפרטי של האישה בסך של 195,818 ₪ בתאריך </w:t>
      </w:r>
      <w:r>
        <w:rPr>
          <w:rFonts w:ascii="David" w:hAnsi="David" w:cs="David"/>
          <w:b/>
          <w:bCs/>
          <w:sz w:val="24"/>
          <w:szCs w:val="24"/>
          <w:rtl/>
        </w:rPr>
        <w:lastRenderedPageBreak/>
        <w:t>10.7.2018 לחשבונה של גב' דורית דיין : בדפי הבנק אכן ראיתי כי נמשך פקדון והועבר מהחש' בתאריך 10.7.2018 על סך 195,818 ₪. מאידך גיסא ובהתאם למסמכים שהוגשו על ידי ב"כ האישה, עולה כי הכספים שהופקדו בחשבונה של האישה נובעים מירושה שקיבלה בפטירת אביה ז"ל, וכספים אלו הוחזרו לאימה של האישה. כך גם הוחזרו הכספים שניתנו לכל אחד מאחיה של האישה. לפיכך ככל שהאיש משיג על כך, הרי שעל ב"כ האיש לפנות לכב' ביהמ"ש לקבלת החלטה שיפוטית, ככל הנדרש."</w:t>
      </w:r>
    </w:p>
    <w:p w:rsidR="00431038" w:rsidRDefault="00431038" w:rsidP="00431038">
      <w:pPr>
        <w:pStyle w:val="aa"/>
        <w:spacing w:line="240" w:lineRule="auto"/>
        <w:rPr>
          <w:rFonts w:ascii="David" w:hAnsi="David" w:cs="David"/>
          <w:sz w:val="24"/>
          <w:szCs w:val="24"/>
        </w:rPr>
      </w:pPr>
    </w:p>
    <w:p w:rsidR="00431038" w:rsidRDefault="00431038" w:rsidP="00431038">
      <w:pPr>
        <w:pStyle w:val="aa"/>
        <w:numPr>
          <w:ilvl w:val="0"/>
          <w:numId w:val="1"/>
        </w:numPr>
        <w:spacing w:line="360" w:lineRule="auto"/>
        <w:jc w:val="both"/>
        <w:rPr>
          <w:rFonts w:ascii="David" w:hAnsi="David" w:cs="David"/>
          <w:sz w:val="24"/>
          <w:szCs w:val="24"/>
          <w:rtl/>
        </w:rPr>
      </w:pPr>
      <w:r>
        <w:rPr>
          <w:rFonts w:ascii="David" w:hAnsi="David" w:cs="David"/>
          <w:sz w:val="24"/>
          <w:szCs w:val="24"/>
          <w:rtl/>
        </w:rPr>
        <w:t>מכאן, יש לבחון באם התובעת שיתפה את הנתבע בכספים אלה או שהייתה לה כוונה לעשות כן.  אקדים תוצאה לדרך, ואציין שמצאתי את התשובה בשלילה; מהעובדות שהוצגו לגביהן אין מחלוקת, עולה שמיד עם קבלתו, הכסף הופקד בחשבון בנק נפרד, בבעלות התובעת, אליו לנתבע  אין כל גישה, ובנפרד מחשבון הצדדים, והכל בידיעת הנתבע. בפעולתה זו, יש ללמד על כוונתה הברורה של התובעת להפרדה, ורצונה שהכסף לא יעורב או ייטמע במערכת הפיננסית המשפחתית (ראו:</w:t>
      </w:r>
      <w:r>
        <w:rPr>
          <w:rtl/>
        </w:rPr>
        <w:t xml:space="preserve"> </w:t>
      </w:r>
      <w:r>
        <w:rPr>
          <w:rFonts w:ascii="David" w:hAnsi="David" w:cs="David"/>
          <w:sz w:val="24"/>
          <w:szCs w:val="24"/>
          <w:rtl/>
        </w:rPr>
        <w:t>אריאל דרור, עו"ד "חלוקת רכוש בהליך גרושין" תשע"ה 2015 פרק ב' עמ' 51 -59; תמ"ש (י-ם) 16622/06 ו. א. נ' כ. מ. [נבו] (31/12/2007); ותמ"ש (משפחה טבריה) 56045-10-10 ע.ש נ' ש.ש (נבו 25.01.2012). וכך הצהירה התובעת לעניין קבלת הכסף, פתיחת החשבון והפקדתו (שם בעמ' 25 שו' 10-21, פר' מיום 2/5/22):</w:t>
      </w:r>
    </w:p>
    <w:p w:rsidR="00431038" w:rsidRDefault="00431038" w:rsidP="00431038">
      <w:pPr>
        <w:pStyle w:val="aa"/>
        <w:spacing w:line="360" w:lineRule="auto"/>
        <w:ind w:left="1080"/>
        <w:jc w:val="both"/>
        <w:rPr>
          <w:rFonts w:ascii="David" w:hAnsi="David" w:cs="David"/>
          <w:sz w:val="24"/>
          <w:szCs w:val="24"/>
        </w:rPr>
      </w:pPr>
      <w:r>
        <w:rPr>
          <w:rFonts w:ascii="FrankRuehl" w:hAnsi="FrankRuehl" w:cs="FrankRuehl"/>
          <w:b/>
          <w:bCs/>
          <w:sz w:val="24"/>
          <w:szCs w:val="24"/>
          <w:rtl/>
        </w:rPr>
        <w:t>"....לשאלת ביהמ"ש, האם הכסף הזה נכנס לחשבון בבעלותי, אני משיבה שכן. הוא לא היה בעלים בחשבון ולא מיופה כוח בחשבון ולא היתה לו גישה לחשבון. בחשבון הזה לא בוצעו פעולות לטובת הבית המשותף. לשאלת ביהמ"ש, מה עשית עם החשבון הזה, אני משיבה רק כניסה של כספים. לא היה לי כרטיס אשראי ולא שיקים מהחשבון הזה. לא שילמתי כספים מחשבון זה לטובת הבית. לא ירדה משם משכנתא. מעולם לא היתה כוונת שיתוף. אפילו הניירת היתה מגיעה לאימא שלי הביתה. החשבון היה רק על שמי בלבד, בלי אפשרות לכלום, רק כניסה של כסף. החשבון נפתח ב- 10/7/18 בשעה 13:30 בצהרים. לשאלת ביהמ"ש, חשבון הבנק שהיו בו הכספים משך השנים, מתי הוא נפתח, אני משיבה – לא זוכרת. זה היה כשקיבלתי שיק של אבא שלי, שיק של אחד מביטוחי החיים. פתחתי את החשבון הזה כדי שהכסף לא ייכנס לשום מקום אחר. היתה כוונת החזרה לתת לאימא שלי את הכסף ברגע שכל הכספים יתקבלו. עוד לפני שידענו שיש כספים. לשאלת ביהמ"ש, החשבון נפתח לצורך ייעודי, אני משיבה שכן.</w:t>
      </w:r>
      <w:r>
        <w:rPr>
          <w:rFonts w:ascii="David" w:hAnsi="David" w:cs="David"/>
          <w:sz w:val="24"/>
          <w:szCs w:val="24"/>
          <w:rtl/>
        </w:rPr>
        <w:t>"</w:t>
      </w:r>
    </w:p>
    <w:p w:rsidR="00431038" w:rsidRDefault="00431038" w:rsidP="00431038">
      <w:pPr>
        <w:pStyle w:val="aa"/>
        <w:rPr>
          <w:rFonts w:ascii="David" w:hAnsi="David" w:cs="David"/>
          <w:sz w:val="24"/>
          <w:szCs w:val="24"/>
          <w:rtl/>
        </w:rPr>
      </w:pPr>
    </w:p>
    <w:p w:rsidR="00431038" w:rsidRDefault="00431038" w:rsidP="00431038">
      <w:pPr>
        <w:pStyle w:val="aa"/>
        <w:numPr>
          <w:ilvl w:val="0"/>
          <w:numId w:val="1"/>
        </w:numPr>
        <w:spacing w:line="360" w:lineRule="auto"/>
        <w:jc w:val="both"/>
        <w:rPr>
          <w:rFonts w:ascii="David" w:hAnsi="David" w:cs="David"/>
          <w:sz w:val="24"/>
          <w:szCs w:val="24"/>
        </w:rPr>
      </w:pPr>
      <w:r>
        <w:rPr>
          <w:rFonts w:ascii="David" w:hAnsi="David" w:cs="David"/>
          <w:sz w:val="24"/>
          <w:szCs w:val="24"/>
          <w:rtl/>
        </w:rPr>
        <w:t xml:space="preserve">כך גם, בשום שלב, לתובעת לא הייתה כל כוונת שיתוף עתידית בכסף, ועובדה זו אף היא הייתה בידיעת הנתבע, שאישר בחקירתו כי מעולם התובעת  לא הודיעה על כוונת שיתוף, לא הציגה מצג ולפיו המדובר בכסף משותף, ואף ידע שהיא מתעתדת להעבירו לאמה. וכך הצהיר בפר' מיום 2/5/22: </w:t>
      </w:r>
    </w:p>
    <w:p w:rsidR="00431038" w:rsidRDefault="00431038" w:rsidP="00431038">
      <w:pPr>
        <w:pStyle w:val="aa"/>
        <w:ind w:left="1076" w:right="567"/>
        <w:jc w:val="both"/>
        <w:rPr>
          <w:rFonts w:ascii="FrankRuehl" w:hAnsi="FrankRuehl" w:cs="FrankRuehl"/>
          <w:b/>
          <w:bCs/>
          <w:sz w:val="24"/>
          <w:szCs w:val="24"/>
          <w:rtl/>
        </w:rPr>
      </w:pPr>
      <w:r>
        <w:rPr>
          <w:rFonts w:ascii="FrankRuehl" w:hAnsi="FrankRuehl" w:cs="FrankRuehl"/>
          <w:b/>
          <w:bCs/>
          <w:sz w:val="24"/>
          <w:szCs w:val="24"/>
          <w:rtl/>
        </w:rPr>
        <w:t xml:space="preserve">"לשאלת בית ה משפט האם באיזה שלב היא אמרה שזה כסף משותף, אני משיב שלא." </w:t>
      </w:r>
      <w:r>
        <w:rPr>
          <w:rFonts w:ascii="FrankRuehl" w:hAnsi="FrankRuehl" w:cs="FrankRuehl"/>
          <w:sz w:val="24"/>
          <w:szCs w:val="24"/>
          <w:rtl/>
        </w:rPr>
        <w:t xml:space="preserve">  (עמ' 29 לפרו' שו' 31)</w:t>
      </w:r>
      <w:r>
        <w:rPr>
          <w:rFonts w:ascii="FrankRuehl" w:hAnsi="FrankRuehl" w:cs="FrankRuehl"/>
          <w:b/>
          <w:bCs/>
          <w:sz w:val="24"/>
          <w:szCs w:val="24"/>
          <w:rtl/>
        </w:rPr>
        <w:t>.</w:t>
      </w:r>
    </w:p>
    <w:p w:rsidR="00431038" w:rsidRDefault="00431038" w:rsidP="00431038">
      <w:pPr>
        <w:pStyle w:val="aa"/>
        <w:ind w:left="1076" w:right="567"/>
        <w:jc w:val="both"/>
        <w:rPr>
          <w:rFonts w:ascii="FrankRuehl" w:hAnsi="FrankRuehl" w:cs="FrankRuehl"/>
          <w:b/>
          <w:bCs/>
          <w:sz w:val="24"/>
          <w:szCs w:val="24"/>
        </w:rPr>
      </w:pPr>
    </w:p>
    <w:p w:rsidR="00431038" w:rsidRDefault="00431038" w:rsidP="00431038">
      <w:pPr>
        <w:pStyle w:val="aa"/>
        <w:ind w:left="1076" w:right="567"/>
        <w:jc w:val="both"/>
        <w:rPr>
          <w:rFonts w:ascii="FrankRuehl" w:hAnsi="FrankRuehl" w:cs="FrankRuehl"/>
          <w:b/>
          <w:bCs/>
          <w:sz w:val="24"/>
          <w:szCs w:val="24"/>
          <w:rtl/>
        </w:rPr>
      </w:pPr>
      <w:r>
        <w:rPr>
          <w:rFonts w:ascii="FrankRuehl" w:hAnsi="FrankRuehl" w:cs="FrankRuehl"/>
          <w:b/>
          <w:bCs/>
          <w:sz w:val="24"/>
          <w:szCs w:val="24"/>
          <w:rtl/>
        </w:rPr>
        <w:t xml:space="preserve">"לשאלת בית המשפט האם מבחינת המצב שהיא הציגה בפניי ידעתי שזה כסף משותף, אני משיב שלא. </w:t>
      </w:r>
    </w:p>
    <w:p w:rsidR="00431038" w:rsidRDefault="00431038" w:rsidP="00431038">
      <w:pPr>
        <w:pStyle w:val="aa"/>
        <w:ind w:left="1076" w:right="567"/>
        <w:jc w:val="both"/>
        <w:rPr>
          <w:rFonts w:ascii="FrankRuehl" w:hAnsi="FrankRuehl" w:cs="FrankRuehl"/>
          <w:b/>
          <w:bCs/>
          <w:sz w:val="24"/>
          <w:szCs w:val="24"/>
          <w:rtl/>
        </w:rPr>
      </w:pPr>
    </w:p>
    <w:p w:rsidR="00431038" w:rsidRDefault="00431038" w:rsidP="00431038">
      <w:pPr>
        <w:pStyle w:val="aa"/>
        <w:ind w:left="1076" w:right="567"/>
        <w:jc w:val="both"/>
        <w:rPr>
          <w:rFonts w:ascii="FrankRuehl" w:hAnsi="FrankRuehl" w:cs="FrankRuehl"/>
          <w:b/>
          <w:bCs/>
          <w:sz w:val="24"/>
          <w:szCs w:val="24"/>
          <w:rtl/>
        </w:rPr>
      </w:pPr>
      <w:r>
        <w:rPr>
          <w:rFonts w:ascii="FrankRuehl" w:hAnsi="FrankRuehl" w:cs="FrankRuehl"/>
          <w:b/>
          <w:bCs/>
          <w:sz w:val="24"/>
          <w:szCs w:val="24"/>
          <w:rtl/>
        </w:rPr>
        <w:lastRenderedPageBreak/>
        <w:t>לשאלת בית המשפט האם היתה הסתמכות שהכסף יועבר לידינו, אני משיב שלא.</w:t>
      </w:r>
    </w:p>
    <w:p w:rsidR="00431038" w:rsidRDefault="00431038" w:rsidP="00431038">
      <w:pPr>
        <w:pStyle w:val="aa"/>
        <w:ind w:left="1076" w:right="567"/>
        <w:jc w:val="both"/>
        <w:rPr>
          <w:rFonts w:ascii="FrankRuehl" w:hAnsi="FrankRuehl" w:cs="FrankRuehl"/>
          <w:b/>
          <w:bCs/>
          <w:sz w:val="24"/>
          <w:szCs w:val="24"/>
          <w:rtl/>
        </w:rPr>
      </w:pPr>
    </w:p>
    <w:p w:rsidR="00431038" w:rsidRDefault="00431038" w:rsidP="00431038">
      <w:pPr>
        <w:pStyle w:val="aa"/>
        <w:ind w:left="1076" w:right="567"/>
        <w:jc w:val="both"/>
        <w:rPr>
          <w:rFonts w:ascii="David" w:hAnsi="David" w:cs="David"/>
          <w:b/>
          <w:bCs/>
          <w:sz w:val="24"/>
          <w:szCs w:val="24"/>
          <w:rtl/>
        </w:rPr>
      </w:pPr>
      <w:r>
        <w:rPr>
          <w:rFonts w:ascii="FrankRuehl" w:hAnsi="FrankRuehl" w:cs="FrankRuehl"/>
          <w:b/>
          <w:bCs/>
          <w:sz w:val="24"/>
          <w:szCs w:val="24"/>
          <w:rtl/>
        </w:rPr>
        <w:t>לשאלת בית המשפט האם ידעתי שהכסף שמופקד בחשבונה אמור לעבור לאמא, אני משיב שרק מדיבורים שלה. היא לא אמרה שהיא תעביר את הכסף אלי, אל הילדים."</w:t>
      </w:r>
      <w:r>
        <w:rPr>
          <w:rFonts w:ascii="David" w:hAnsi="David" w:cs="David"/>
          <w:sz w:val="24"/>
          <w:szCs w:val="24"/>
          <w:rtl/>
        </w:rPr>
        <w:t xml:space="preserve">   (עמ' 29 לפרו' שו' 33-35)</w:t>
      </w:r>
      <w:r>
        <w:rPr>
          <w:rFonts w:ascii="David" w:hAnsi="David" w:cs="David"/>
          <w:b/>
          <w:bCs/>
          <w:sz w:val="24"/>
          <w:szCs w:val="24"/>
          <w:rtl/>
        </w:rPr>
        <w:t>.</w:t>
      </w:r>
    </w:p>
    <w:p w:rsidR="00431038" w:rsidRDefault="00431038" w:rsidP="00431038">
      <w:pPr>
        <w:pStyle w:val="aa"/>
        <w:spacing w:line="360" w:lineRule="auto"/>
        <w:ind w:left="1440"/>
        <w:jc w:val="both"/>
        <w:rPr>
          <w:rFonts w:ascii="David" w:hAnsi="David" w:cs="David"/>
          <w:sz w:val="24"/>
          <w:szCs w:val="24"/>
          <w:rtl/>
        </w:rPr>
      </w:pPr>
    </w:p>
    <w:p w:rsidR="00431038" w:rsidRDefault="00431038" w:rsidP="00431038">
      <w:pPr>
        <w:pStyle w:val="aa"/>
        <w:numPr>
          <w:ilvl w:val="0"/>
          <w:numId w:val="1"/>
        </w:numPr>
        <w:spacing w:line="360" w:lineRule="auto"/>
        <w:jc w:val="both"/>
        <w:rPr>
          <w:rFonts w:ascii="David" w:hAnsi="David" w:cs="David"/>
          <w:sz w:val="24"/>
          <w:szCs w:val="24"/>
          <w:rtl/>
        </w:rPr>
      </w:pPr>
      <w:r>
        <w:rPr>
          <w:rFonts w:ascii="David" w:hAnsi="David" w:cs="David"/>
          <w:sz w:val="24"/>
          <w:szCs w:val="24"/>
          <w:rtl/>
        </w:rPr>
        <w:t xml:space="preserve">וחרף עדותו זו, סבור הנתבע שהעובדה שהתובעת סגרה את הכסף בחשבון חסכון לצבירת תשואה, לתקופה בת 3 שנים משנת 2016, מוכיחה שלא הייתה לה כוונה להחזירו לאימה, אלא לשתפו עמו. טענה זו מצאתי לדחות; ראשית, לא מצאתי שסגירת הכסף מתוך מטרה שיצבור תשואה, מלמדת על כוונת שיתוף, בפרט מקום בו הופקד בחשבון נפרד בבעלות התובעת, וללא שהיה מצדה כל מצג לפיו בכוונתה לשתפו בעתיד. יתר על כן, גם באם במועד בו הופקד הכסף בחסכון, התובעת לא ביקשה להשיבו לאמה, ורצונה זה נולד במועד מאוחר יותר, אין בכך בכדי ללמד על שיתוף, שכן עת פעלה באופן ספציפי להפרדת הכסף ממסת הנכסים, וללא שמהתנהלותה ניתן ללמוד, ולו במשתמע על  כוונתה לשיתוף אף עתידית, אין בשינוי רצונה בכדי ללמד על שיתוף.   </w:t>
      </w:r>
    </w:p>
    <w:p w:rsidR="00431038" w:rsidRDefault="00431038" w:rsidP="00431038">
      <w:pPr>
        <w:pStyle w:val="aa"/>
        <w:spacing w:line="240" w:lineRule="auto"/>
        <w:rPr>
          <w:rFonts w:ascii="David" w:hAnsi="David" w:cs="David"/>
          <w:sz w:val="24"/>
          <w:szCs w:val="24"/>
          <w:rtl/>
        </w:rPr>
      </w:pPr>
    </w:p>
    <w:p w:rsidR="00431038" w:rsidRDefault="00431038" w:rsidP="00431038">
      <w:pPr>
        <w:pStyle w:val="aa"/>
        <w:numPr>
          <w:ilvl w:val="0"/>
          <w:numId w:val="1"/>
        </w:numPr>
        <w:spacing w:line="360" w:lineRule="auto"/>
        <w:jc w:val="both"/>
        <w:rPr>
          <w:rFonts w:ascii="David" w:hAnsi="David" w:cs="David"/>
          <w:sz w:val="24"/>
          <w:szCs w:val="24"/>
          <w:rtl/>
        </w:rPr>
      </w:pPr>
      <w:r>
        <w:rPr>
          <w:rFonts w:ascii="David" w:hAnsi="David" w:cs="David"/>
          <w:sz w:val="24"/>
          <w:szCs w:val="24"/>
          <w:rtl/>
        </w:rPr>
        <w:t xml:space="preserve">עוד מצאתי לדחות את טענת הנתבע ולפיה העובדה כסף שימש כערובה להבטחת התחייבויות משותפות, מלמדת על שיתוף; ראשית, לא עלה בידי הנתבע להוכיח את ההתחייבות שהובטחה באמצעות הכסף. בעוד הנתבע גרס שהכסף שימש כבטוחה לקבלת אשראי לרבות הלוואות בחשבון המשותף באמצעותן הצדדים ערכו שיפוץ  בבית,  התובעת מנגד  טענה שהכסף מעולם לא שימש לצורכי הבית המשותף,  כי אם נועד להבטיח הלוואה שנלקחה בחשבון המשותף למחזור הלוואה קודמת שהייתה לחובת הצדדים. בעדותה, הצהירה לעניין זה כדלקמן (שם בעמ' 25 שו' 8-25, פר' מיום 2/5/22): </w:t>
      </w:r>
    </w:p>
    <w:p w:rsidR="00431038" w:rsidRDefault="00431038" w:rsidP="009663EB">
      <w:pPr>
        <w:pStyle w:val="aa"/>
        <w:spacing w:line="276" w:lineRule="auto"/>
        <w:ind w:left="1440" w:right="284" w:hanging="720"/>
        <w:jc w:val="both"/>
        <w:rPr>
          <w:rFonts w:ascii="FrankRuehl" w:hAnsi="FrankRuehl" w:cs="FrankRuehl"/>
          <w:b/>
          <w:bCs/>
          <w:sz w:val="24"/>
          <w:szCs w:val="24"/>
        </w:rPr>
      </w:pPr>
      <w:r>
        <w:rPr>
          <w:rFonts w:ascii="FrankRuehl" w:hAnsi="FrankRuehl" w:cs="FrankRuehl"/>
          <w:b/>
          <w:bCs/>
          <w:sz w:val="24"/>
          <w:szCs w:val="24"/>
          <w:rtl/>
        </w:rPr>
        <w:t>"ת.</w:t>
      </w:r>
      <w:r>
        <w:rPr>
          <w:rFonts w:ascii="FrankRuehl" w:hAnsi="FrankRuehl" w:cs="FrankRuehl"/>
          <w:b/>
          <w:bCs/>
          <w:sz w:val="24"/>
          <w:szCs w:val="24"/>
          <w:rtl/>
        </w:rPr>
        <w:tab/>
      </w:r>
      <w:r w:rsidR="009663EB">
        <w:rPr>
          <w:rFonts w:ascii="FrankRuehl" w:hAnsi="FrankRuehl" w:cs="FrankRuehl" w:hint="cs"/>
          <w:sz w:val="24"/>
          <w:szCs w:val="24"/>
          <w:rtl/>
        </w:rPr>
        <w:t xml:space="preserve">*** </w:t>
      </w:r>
      <w:r>
        <w:rPr>
          <w:rFonts w:ascii="FrankRuehl" w:hAnsi="FrankRuehl" w:cs="FrankRuehl"/>
          <w:sz w:val="24"/>
          <w:szCs w:val="24"/>
          <w:rtl/>
        </w:rPr>
        <w:t>החליט לקחת הלוואה של 100,000 ₪ בשנת 2016. כבטחון הוא שם את  הכסף הזה, הוא ביקש ממני ללכת ולרשום את הכסף הזה כמשועבד, שאם משהו קורה, שיהיה גב. הוא לא ידע כמה יש שם.....</w:t>
      </w:r>
      <w:r>
        <w:rPr>
          <w:rFonts w:ascii="FrankRuehl" w:hAnsi="FrankRuehl" w:cs="FrankRuehl"/>
          <w:b/>
          <w:bCs/>
          <w:sz w:val="24"/>
          <w:szCs w:val="24"/>
          <w:rtl/>
        </w:rPr>
        <w:t xml:space="preserve"> </w:t>
      </w:r>
    </w:p>
    <w:p w:rsidR="00431038" w:rsidRDefault="00431038" w:rsidP="009663EB">
      <w:pPr>
        <w:pStyle w:val="aa"/>
        <w:spacing w:line="276" w:lineRule="auto"/>
        <w:ind w:right="284"/>
        <w:jc w:val="both"/>
        <w:rPr>
          <w:rFonts w:ascii="FrankRuehl" w:hAnsi="FrankRuehl" w:cs="FrankRuehl"/>
          <w:b/>
          <w:bCs/>
          <w:sz w:val="24"/>
          <w:szCs w:val="24"/>
          <w:rtl/>
        </w:rPr>
      </w:pPr>
      <w:r>
        <w:rPr>
          <w:rFonts w:ascii="FrankRuehl" w:hAnsi="FrankRuehl" w:cs="FrankRuehl"/>
          <w:b/>
          <w:bCs/>
          <w:sz w:val="24"/>
          <w:szCs w:val="24"/>
          <w:rtl/>
        </w:rPr>
        <w:t>ש.</w:t>
      </w:r>
      <w:r>
        <w:rPr>
          <w:rFonts w:ascii="FrankRuehl" w:hAnsi="FrankRuehl" w:cs="FrankRuehl"/>
          <w:b/>
          <w:bCs/>
          <w:sz w:val="24"/>
          <w:szCs w:val="24"/>
          <w:rtl/>
        </w:rPr>
        <w:tab/>
        <w:t>את אומרת ש</w:t>
      </w:r>
      <w:r w:rsidR="009663EB">
        <w:rPr>
          <w:rFonts w:ascii="FrankRuehl" w:hAnsi="FrankRuehl" w:cs="FrankRuehl" w:hint="cs"/>
          <w:b/>
          <w:bCs/>
          <w:sz w:val="24"/>
          <w:szCs w:val="24"/>
          <w:rtl/>
        </w:rPr>
        <w:t xml:space="preserve">*** </w:t>
      </w:r>
      <w:r>
        <w:rPr>
          <w:rFonts w:ascii="FrankRuehl" w:hAnsi="FrankRuehl" w:cs="FrankRuehl"/>
          <w:b/>
          <w:bCs/>
          <w:sz w:val="24"/>
          <w:szCs w:val="24"/>
          <w:rtl/>
        </w:rPr>
        <w:t xml:space="preserve">בא ורצה לקחת הלוואה. לטובת מה היתה ההלוואה? </w:t>
      </w:r>
    </w:p>
    <w:p w:rsidR="00431038" w:rsidRDefault="00431038" w:rsidP="00431038">
      <w:pPr>
        <w:pStyle w:val="aa"/>
        <w:spacing w:line="276" w:lineRule="auto"/>
        <w:ind w:right="284"/>
        <w:jc w:val="both"/>
        <w:rPr>
          <w:rFonts w:ascii="FrankRuehl" w:hAnsi="FrankRuehl" w:cs="FrankRuehl"/>
          <w:sz w:val="24"/>
          <w:szCs w:val="24"/>
        </w:rPr>
      </w:pPr>
      <w:r>
        <w:rPr>
          <w:rFonts w:ascii="FrankRuehl" w:hAnsi="FrankRuehl" w:cs="FrankRuehl"/>
          <w:sz w:val="24"/>
          <w:szCs w:val="24"/>
          <w:rtl/>
        </w:rPr>
        <w:t>ת.</w:t>
      </w:r>
      <w:r>
        <w:rPr>
          <w:rFonts w:ascii="FrankRuehl" w:hAnsi="FrankRuehl" w:cs="FrankRuehl"/>
          <w:sz w:val="24"/>
          <w:szCs w:val="24"/>
          <w:rtl/>
        </w:rPr>
        <w:tab/>
        <w:t xml:space="preserve">הבית שלנו. </w:t>
      </w:r>
    </w:p>
    <w:p w:rsidR="00431038" w:rsidRDefault="00431038" w:rsidP="00431038">
      <w:pPr>
        <w:pStyle w:val="aa"/>
        <w:spacing w:line="276" w:lineRule="auto"/>
        <w:ind w:right="284"/>
        <w:jc w:val="both"/>
        <w:rPr>
          <w:rFonts w:ascii="FrankRuehl" w:hAnsi="FrankRuehl" w:cs="FrankRuehl"/>
          <w:b/>
          <w:bCs/>
          <w:sz w:val="24"/>
          <w:szCs w:val="24"/>
          <w:rtl/>
        </w:rPr>
      </w:pPr>
      <w:r>
        <w:rPr>
          <w:rFonts w:ascii="FrankRuehl" w:hAnsi="FrankRuehl" w:cs="FrankRuehl"/>
          <w:b/>
          <w:bCs/>
          <w:sz w:val="24"/>
          <w:szCs w:val="24"/>
          <w:rtl/>
        </w:rPr>
        <w:t>ש.</w:t>
      </w:r>
      <w:r>
        <w:rPr>
          <w:rFonts w:ascii="FrankRuehl" w:hAnsi="FrankRuehl" w:cs="FrankRuehl"/>
          <w:b/>
          <w:bCs/>
          <w:sz w:val="24"/>
          <w:szCs w:val="24"/>
          <w:rtl/>
        </w:rPr>
        <w:tab/>
        <w:t xml:space="preserve">מה זה לבית? </w:t>
      </w:r>
    </w:p>
    <w:p w:rsidR="00431038" w:rsidRDefault="00431038" w:rsidP="00431038">
      <w:pPr>
        <w:pStyle w:val="aa"/>
        <w:spacing w:line="276" w:lineRule="auto"/>
        <w:ind w:right="284"/>
        <w:jc w:val="both"/>
        <w:rPr>
          <w:rFonts w:ascii="David" w:hAnsi="David" w:cs="David"/>
          <w:sz w:val="24"/>
          <w:szCs w:val="24"/>
          <w:rtl/>
        </w:rPr>
      </w:pPr>
      <w:r>
        <w:rPr>
          <w:rFonts w:ascii="FrankRuehl" w:hAnsi="FrankRuehl" w:cs="FrankRuehl"/>
          <w:sz w:val="24"/>
          <w:szCs w:val="24"/>
          <w:rtl/>
        </w:rPr>
        <w:t>ת.</w:t>
      </w:r>
      <w:r>
        <w:rPr>
          <w:rFonts w:ascii="FrankRuehl" w:hAnsi="FrankRuehl" w:cs="FrankRuehl"/>
          <w:sz w:val="24"/>
          <w:szCs w:val="24"/>
          <w:rtl/>
        </w:rPr>
        <w:tab/>
        <w:t>להחזיר הלוואות אחרות ממקודם שנצטברו בחשבון המשותף</w:t>
      </w:r>
      <w:r>
        <w:rPr>
          <w:rFonts w:ascii="David" w:hAnsi="David" w:cs="David"/>
          <w:sz w:val="24"/>
          <w:szCs w:val="24"/>
          <w:rtl/>
        </w:rPr>
        <w:t>"</w:t>
      </w:r>
    </w:p>
    <w:p w:rsidR="00431038" w:rsidRDefault="00431038" w:rsidP="00431038">
      <w:pPr>
        <w:pStyle w:val="aa"/>
        <w:spacing w:line="360" w:lineRule="auto"/>
        <w:jc w:val="both"/>
        <w:rPr>
          <w:rFonts w:ascii="David" w:hAnsi="David" w:cs="David"/>
          <w:sz w:val="24"/>
          <w:szCs w:val="24"/>
          <w:rtl/>
        </w:rPr>
      </w:pPr>
    </w:p>
    <w:p w:rsidR="00431038" w:rsidRDefault="00431038" w:rsidP="00431038">
      <w:pPr>
        <w:pStyle w:val="aa"/>
        <w:numPr>
          <w:ilvl w:val="0"/>
          <w:numId w:val="1"/>
        </w:numPr>
        <w:spacing w:line="360" w:lineRule="auto"/>
        <w:jc w:val="both"/>
        <w:rPr>
          <w:rFonts w:ascii="David" w:hAnsi="David" w:cs="David"/>
          <w:sz w:val="24"/>
          <w:szCs w:val="24"/>
          <w:rtl/>
        </w:rPr>
      </w:pPr>
      <w:r>
        <w:rPr>
          <w:rFonts w:ascii="David" w:hAnsi="David" w:cs="David"/>
          <w:sz w:val="24"/>
          <w:szCs w:val="24"/>
          <w:rtl/>
        </w:rPr>
        <w:t xml:space="preserve">אכן, מעדות התובעת עולה שנלקחה הלוואה בחשבון המשותף והכסף שועבד כבטוחה, ואולם מוצאת אני שהסכמת התובעת לשעבוד ספציפי להבטחת הלוואה, אינו מהווה שיתוף גורף, כי אם רק מקום בו יעלה הצורך במימוש הבטוחה שניתנה לצורך ההתחייבות הספציפית. לראייה, ככל ורצתה התובעת לקבוע שיתוף, ולמצער בחלק מהכסף, סביר שהיה מועבר לחשבון הצדדים חלף ההלוואה, ולחילופין משמש לפירעונה. אף מגרסת הנתבע בעצמו עולה שהכסף נועד לבטוחה ספציפית, ולא ניתנה כל הבטחה או התחייבות מצד התובעת, שישמש את הצדדים למטרה אחרת, וכפי שהצהיר (ר' עמ' 30 שו' 3-6, פר' מיום 2/5/22): </w:t>
      </w:r>
      <w:r>
        <w:rPr>
          <w:rFonts w:ascii="David" w:hAnsi="David" w:cs="David"/>
          <w:b/>
          <w:bCs/>
          <w:sz w:val="24"/>
          <w:szCs w:val="24"/>
          <w:rtl/>
        </w:rPr>
        <w:t xml:space="preserve"> </w:t>
      </w:r>
      <w:r>
        <w:rPr>
          <w:rFonts w:ascii="FrankRuehl" w:hAnsi="FrankRuehl" w:cs="FrankRuehl"/>
          <w:b/>
          <w:bCs/>
          <w:sz w:val="24"/>
          <w:szCs w:val="24"/>
          <w:rtl/>
        </w:rPr>
        <w:t xml:space="preserve">"לשאלת בית המשפט האם </w:t>
      </w:r>
      <w:r>
        <w:rPr>
          <w:rFonts w:ascii="FrankRuehl" w:hAnsi="FrankRuehl" w:cs="FrankRuehl"/>
          <w:b/>
          <w:bCs/>
          <w:sz w:val="24"/>
          <w:szCs w:val="24"/>
          <w:rtl/>
        </w:rPr>
        <w:lastRenderedPageBreak/>
        <w:t>היא אמרה שתפרע את ההלוואות עם הכסף הזה, אני משיב שכן, אם צריך.  לשאלת בית המשפט חוץ מכיסוי ההלוואות, האם דובר על זה שהכסף יעבור לדברים אחרים, אני משיב שלא."</w:t>
      </w:r>
    </w:p>
    <w:p w:rsidR="00431038" w:rsidRDefault="00431038" w:rsidP="00431038">
      <w:pPr>
        <w:pStyle w:val="aa"/>
        <w:spacing w:line="240" w:lineRule="auto"/>
        <w:jc w:val="both"/>
        <w:rPr>
          <w:rFonts w:ascii="David" w:hAnsi="David" w:cs="David"/>
          <w:sz w:val="24"/>
          <w:szCs w:val="24"/>
          <w:rtl/>
        </w:rPr>
      </w:pPr>
    </w:p>
    <w:p w:rsidR="00431038" w:rsidRDefault="00431038" w:rsidP="00431038">
      <w:pPr>
        <w:pStyle w:val="aa"/>
        <w:numPr>
          <w:ilvl w:val="0"/>
          <w:numId w:val="1"/>
        </w:numPr>
        <w:spacing w:line="360" w:lineRule="auto"/>
        <w:jc w:val="both"/>
        <w:rPr>
          <w:rFonts w:ascii="David" w:hAnsi="David" w:cs="David"/>
          <w:sz w:val="24"/>
          <w:szCs w:val="24"/>
          <w:rtl/>
        </w:rPr>
      </w:pPr>
      <w:r>
        <w:rPr>
          <w:rFonts w:ascii="David" w:hAnsi="David" w:cs="David"/>
          <w:sz w:val="24"/>
          <w:szCs w:val="24"/>
          <w:rtl/>
        </w:rPr>
        <w:t xml:space="preserve">ומעבר לכל האמור; לתמיכה בטענותיה צורף תצהיר שנערך ע"י  אמה של התובעת, שתי אחיותיה ואחיה, שם הצהירו שהנתבע ידע שהכספים שנתקבלו מעיזבון האב יועברו ע"י כלל האחים לטובת האם, ושיחות אלה, נערכו גם בנוכחותו. עת הודיעה ב"כ הנתבע שהיא מוותרת על חקירת העדים (ראה דבריה בעמוד 27 שורה 32-35) יחול הכלל ולפיו </w:t>
      </w:r>
      <w:r>
        <w:rPr>
          <w:rFonts w:ascii="David" w:hAnsi="David" w:cs="David"/>
          <w:b/>
          <w:bCs/>
          <w:sz w:val="24"/>
          <w:szCs w:val="24"/>
          <w:rtl/>
        </w:rPr>
        <w:t>"בהעדר....חקירה נגדית של המצהיר הרי שבית המשפט יראה בדרך כלל את העובדות כפי שהן מפורשות בתצהיר, כעובדות שאין חולקין עליהן"</w:t>
      </w:r>
      <w:r>
        <w:rPr>
          <w:rFonts w:ascii="David" w:hAnsi="David" w:cs="David"/>
          <w:sz w:val="24"/>
          <w:szCs w:val="24"/>
          <w:rtl/>
        </w:rPr>
        <w:t xml:space="preserve"> (ע"א 2877/92 אל לטיף נ' מורשת בנימין ואח' פ"ד מז(3) 846, 850). בגרסתם מחזקים העדים את גרסת התובעת ולפיה הנתבע ידע שהכסף יועבר לאמה, ולא הייתה על כך כל מחלוקת, והנתבע אף הוא אישר שידע מדברי התובעת עובדה זו (ראה עדותו לעיל). בנסיבות אלה, אף באם הייתי מקבלת גרסתו ולפיה מדובר בכסף משותף, אזי, מקום בו נתן הסכמתו שזה יועבר במלואו לאמה של התובעת, אינו יכול לדרוש בדיעבד לחזור בו מהסכמתו זו.   </w:t>
      </w:r>
    </w:p>
    <w:p w:rsidR="00431038" w:rsidRDefault="00431038" w:rsidP="00431038">
      <w:pPr>
        <w:pStyle w:val="aa"/>
        <w:spacing w:line="240" w:lineRule="auto"/>
        <w:ind w:left="360"/>
        <w:jc w:val="both"/>
        <w:rPr>
          <w:rFonts w:ascii="David" w:hAnsi="David" w:cs="David"/>
          <w:sz w:val="24"/>
          <w:szCs w:val="24"/>
        </w:rPr>
      </w:pPr>
    </w:p>
    <w:p w:rsidR="00431038" w:rsidRDefault="00431038" w:rsidP="00431038">
      <w:pPr>
        <w:pStyle w:val="aa"/>
        <w:numPr>
          <w:ilvl w:val="0"/>
          <w:numId w:val="1"/>
        </w:numPr>
        <w:spacing w:line="360" w:lineRule="auto"/>
        <w:jc w:val="both"/>
        <w:rPr>
          <w:rFonts w:ascii="David" w:hAnsi="David" w:cs="David"/>
          <w:sz w:val="24"/>
          <w:szCs w:val="24"/>
          <w:rtl/>
        </w:rPr>
      </w:pPr>
      <w:r>
        <w:rPr>
          <w:rFonts w:ascii="David" w:hAnsi="David" w:cs="David"/>
          <w:sz w:val="24"/>
          <w:szCs w:val="24"/>
          <w:rtl/>
        </w:rPr>
        <w:t xml:space="preserve">מכל האמור, מצאתי לקבוע שהכסף שהופקד בחשבון התובעת, בבעלותה, ואינו בר איזון, וכל טענות הנתבע לעניין זה, נדחות.  </w:t>
      </w:r>
    </w:p>
    <w:p w:rsidR="00431038" w:rsidRDefault="00431038" w:rsidP="00431038">
      <w:pPr>
        <w:spacing w:line="360" w:lineRule="auto"/>
        <w:jc w:val="both"/>
        <w:rPr>
          <w:rFonts w:ascii="David" w:hAnsi="David"/>
          <w:b/>
          <w:bCs/>
          <w:u w:val="single"/>
        </w:rPr>
      </w:pPr>
      <w:r>
        <w:rPr>
          <w:rFonts w:ascii="David" w:hAnsi="David"/>
          <w:b/>
          <w:bCs/>
          <w:u w:val="single"/>
          <w:rtl/>
        </w:rPr>
        <w:t xml:space="preserve">פערי ההשתכרות על פי חוות דעת האקטואר: </w:t>
      </w:r>
    </w:p>
    <w:p w:rsidR="00431038" w:rsidRDefault="00431038" w:rsidP="00431038">
      <w:pPr>
        <w:jc w:val="both"/>
        <w:rPr>
          <w:rFonts w:ascii="David" w:hAnsi="David"/>
          <w:b/>
          <w:bCs/>
        </w:rPr>
      </w:pPr>
    </w:p>
    <w:p w:rsidR="00431038" w:rsidRDefault="00431038" w:rsidP="00431038">
      <w:pPr>
        <w:pStyle w:val="aa"/>
        <w:numPr>
          <w:ilvl w:val="0"/>
          <w:numId w:val="1"/>
        </w:numPr>
        <w:spacing w:line="360" w:lineRule="auto"/>
        <w:jc w:val="both"/>
        <w:rPr>
          <w:rFonts w:ascii="David" w:hAnsi="David" w:cs="David"/>
          <w:sz w:val="24"/>
          <w:szCs w:val="24"/>
          <w:rtl/>
        </w:rPr>
      </w:pPr>
      <w:r>
        <w:rPr>
          <w:rFonts w:ascii="David" w:hAnsi="David" w:cs="David"/>
          <w:sz w:val="24"/>
          <w:szCs w:val="24"/>
          <w:rtl/>
        </w:rPr>
        <w:t xml:space="preserve">כמפורט ברישא לפס"ד, ביום 30.3.20 מונה מומחה שערך חוות דעת מסגרתה בחן ואמד את כלל החובות והזכויות שצברו הצדדים בתקופת השיתוף, וקבע שתי חלופות לאיזון (חו"ד הראשונה). לאחר הגשת שאלות הבהרה מטעם הנתבע, הוגשה חוות דעת מתוקנת (חו"ד השנייה). בדיון מיום 2.5.22  הגיעו הצדדים להסכמה שאושרה וקיבלה תוקף של החלטה, לפיה  </w:t>
      </w:r>
      <w:r>
        <w:rPr>
          <w:rFonts w:ascii="David" w:hAnsi="David" w:cs="David"/>
          <w:b/>
          <w:bCs/>
          <w:sz w:val="24"/>
          <w:szCs w:val="24"/>
          <w:rtl/>
        </w:rPr>
        <w:t xml:space="preserve">"מסכימים שקביעות האקטואר בחוות דעתו לעניין החלוקה של הזכויות הפנסיוניות של הצדדים תאושר". </w:t>
      </w:r>
      <w:r>
        <w:rPr>
          <w:rFonts w:ascii="David" w:hAnsi="David" w:cs="David"/>
          <w:sz w:val="24"/>
          <w:szCs w:val="24"/>
          <w:rtl/>
        </w:rPr>
        <w:t xml:space="preserve">עוד הגיעו הצדדים להסכמה לעניין חלקה של התובעת בשווי העסק הרשום על של הנתבע, בסך של 43,079  ₪. ביום 18.7.22 נחתמו פסיקתות בהתאם. </w:t>
      </w:r>
    </w:p>
    <w:p w:rsidR="00431038" w:rsidRDefault="00431038" w:rsidP="00431038">
      <w:pPr>
        <w:pStyle w:val="aa"/>
        <w:spacing w:line="240" w:lineRule="auto"/>
        <w:jc w:val="both"/>
        <w:rPr>
          <w:rFonts w:ascii="David" w:hAnsi="David" w:cs="David"/>
          <w:sz w:val="24"/>
          <w:szCs w:val="24"/>
          <w:rtl/>
        </w:rPr>
      </w:pPr>
    </w:p>
    <w:p w:rsidR="00431038" w:rsidRDefault="00431038" w:rsidP="00431038">
      <w:pPr>
        <w:pStyle w:val="aa"/>
        <w:numPr>
          <w:ilvl w:val="0"/>
          <w:numId w:val="1"/>
        </w:numPr>
        <w:spacing w:line="360" w:lineRule="auto"/>
        <w:jc w:val="both"/>
        <w:rPr>
          <w:rFonts w:ascii="David" w:hAnsi="David" w:cs="David"/>
          <w:sz w:val="24"/>
          <w:szCs w:val="24"/>
          <w:rtl/>
        </w:rPr>
      </w:pPr>
      <w:r>
        <w:rPr>
          <w:rFonts w:ascii="David" w:hAnsi="David" w:cs="David"/>
          <w:sz w:val="24"/>
          <w:szCs w:val="24"/>
          <w:rtl/>
        </w:rPr>
        <w:t xml:space="preserve">בהתאם להסכמת הצדדים וכפי שציינו בסיכומיהם, אין מחלקות לעניין תשלום פיצוי  בגין הפרשי נכסי הקריירה ופערי ההשתכרות, וכן לעניין תקופת הפיצוי. </w:t>
      </w:r>
      <w:r>
        <w:rPr>
          <w:rFonts w:ascii="David" w:hAnsi="David" w:cs="David"/>
          <w:sz w:val="24"/>
          <w:szCs w:val="24"/>
          <w:u w:val="single"/>
          <w:rtl/>
        </w:rPr>
        <w:t>המחלוקת בענייננו הינה הסכום לתשלום</w:t>
      </w:r>
      <w:r>
        <w:rPr>
          <w:rFonts w:ascii="David" w:hAnsi="David" w:cs="David"/>
          <w:sz w:val="24"/>
          <w:szCs w:val="24"/>
          <w:rtl/>
        </w:rPr>
        <w:t xml:space="preserve"> וזאת נוכח טענות הצדדים לעניין פוטנציאל השתכרות של הצדדים; בסעיף 4.14 לחוות הדעת קבע המומחה את פוטנציאל השתכרות הנתבע בסך 15,348 ₪, ואת פוטנציאל השתכרותה של  התובעת בסך 5,114 ₪. התובעת סבורה שיש לקבוע את סכום הפיצוי כקבוע בחוות הדעת הראשונה, המורכב מהפרש פוטנציאל ההשתכרות בסך של 6,634 ₪ לחודש, בקיזוז תשלום מזונות בסך 3,600 ₪ בלבד, שכן אין לחשב עלות המדור ואחזקתו כחלק מדמי המזונות. עוד עותרת לתקן את פוטנציאל ההשתכרות אותו קבע האקטואר, שעה שאישר בחקירתו שהטבת שווי הרכב לא הובאה בחשבון; מנגד, סבור הנתבע שיש לקבוע את סכום </w:t>
      </w:r>
      <w:r>
        <w:rPr>
          <w:rFonts w:ascii="David" w:hAnsi="David" w:cs="David"/>
          <w:sz w:val="24"/>
          <w:szCs w:val="24"/>
          <w:rtl/>
        </w:rPr>
        <w:lastRenderedPageBreak/>
        <w:t>הפיצוי על פי חוות הדעת השנייה, בסך 64,151 ₪, המורכב מהפרש פוטנציאל ההשתכרות בסך של 4,134 ₪ לחודש, בקיזוז דמי מזונות כפי שנפסקו בסך 6,100 ₪. עוד עותר לקבוע את פוטנציאל השתכרות התובעת  בהתאם לשכר מוצע של מעצבת גרפית, בסך 7,000 ₪  ולא לפי שכר מינימום.</w:t>
      </w:r>
    </w:p>
    <w:p w:rsidR="00431038" w:rsidRDefault="00431038" w:rsidP="00431038">
      <w:pPr>
        <w:pStyle w:val="aa"/>
        <w:spacing w:line="240" w:lineRule="auto"/>
        <w:jc w:val="both"/>
        <w:rPr>
          <w:rFonts w:ascii="David" w:hAnsi="David" w:cs="David"/>
          <w:b/>
          <w:bCs/>
          <w:sz w:val="24"/>
          <w:szCs w:val="24"/>
          <w:u w:val="single"/>
          <w:rtl/>
        </w:rPr>
      </w:pPr>
    </w:p>
    <w:p w:rsidR="00431038" w:rsidRDefault="00431038" w:rsidP="00431038">
      <w:pPr>
        <w:pStyle w:val="aa"/>
        <w:numPr>
          <w:ilvl w:val="0"/>
          <w:numId w:val="1"/>
        </w:numPr>
        <w:spacing w:line="360" w:lineRule="auto"/>
        <w:jc w:val="both"/>
        <w:rPr>
          <w:rFonts w:ascii="David" w:hAnsi="David" w:cs="David"/>
          <w:b/>
          <w:bCs/>
          <w:sz w:val="24"/>
          <w:szCs w:val="24"/>
        </w:rPr>
      </w:pPr>
      <w:r>
        <w:rPr>
          <w:rFonts w:ascii="David" w:hAnsi="David" w:cs="David"/>
          <w:sz w:val="24"/>
          <w:szCs w:val="24"/>
          <w:rtl/>
        </w:rPr>
        <w:t xml:space="preserve">בסעיף 5 לתשובות המומחה מיום 30.9.21, התייחס לסכום הפיצוי שעל הנתבע לשלם לתובעת בגין נכסי קריירה והפרשי השתכרות, כדלקמן:  </w:t>
      </w:r>
    </w:p>
    <w:p w:rsidR="00431038" w:rsidRDefault="00431038" w:rsidP="00431038">
      <w:pPr>
        <w:spacing w:line="360" w:lineRule="auto"/>
        <w:ind w:left="720" w:right="567"/>
        <w:jc w:val="both"/>
        <w:rPr>
          <w:rFonts w:ascii="David" w:hAnsi="David"/>
          <w:b/>
          <w:bCs/>
          <w:sz w:val="22"/>
          <w:szCs w:val="22"/>
        </w:rPr>
      </w:pPr>
      <w:r>
        <w:rPr>
          <w:rFonts w:ascii="David" w:hAnsi="David"/>
          <w:b/>
          <w:bCs/>
          <w:rtl/>
        </w:rPr>
        <w:t>"השפעת ההגדלה בסכום המזונות שאמורה לקבל האישה בגין הילדים. ככל שסכום המזונות יוגדל רטרואקטיבית מהמועד הקובע לסך של 6,100 ₪ במקום 3,600 ₪, שהיה ידוע לי על כך בעת חישוביי בחוות הדעת, וככל שכב' ביהמ"ש יאשר זאת, אזי ישתנה סכום הפיצוי החד פעמי שעל האיש להעביר לאישה בגין נכסי הקריירה/הפרשי השתכרות לסך של 1,153 ₪ לחודש )במקום 1,850 ₪ כאמור בחוות דעתי(, וכן סה"כ הפיצוי החד פעמי ישתנה לסכום של 64,151 ₪, )במקום 102,945 ₪ כאמור בחוות דעתי."</w:t>
      </w:r>
    </w:p>
    <w:p w:rsidR="00431038" w:rsidRDefault="00431038" w:rsidP="00431038">
      <w:pPr>
        <w:ind w:left="720" w:right="567"/>
        <w:jc w:val="both"/>
        <w:rPr>
          <w:rFonts w:ascii="David" w:hAnsi="David"/>
          <w:b/>
          <w:bCs/>
          <w:sz w:val="22"/>
          <w:szCs w:val="22"/>
        </w:rPr>
      </w:pPr>
    </w:p>
    <w:p w:rsidR="00431038" w:rsidRDefault="00431038" w:rsidP="00431038">
      <w:pPr>
        <w:pStyle w:val="aa"/>
        <w:numPr>
          <w:ilvl w:val="0"/>
          <w:numId w:val="1"/>
        </w:numPr>
        <w:spacing w:line="360" w:lineRule="auto"/>
        <w:jc w:val="both"/>
        <w:rPr>
          <w:rFonts w:ascii="David" w:hAnsi="David" w:cs="David"/>
          <w:sz w:val="24"/>
          <w:szCs w:val="24"/>
          <w:rtl/>
        </w:rPr>
      </w:pPr>
      <w:r>
        <w:rPr>
          <w:rFonts w:ascii="David" w:hAnsi="David" w:cs="David"/>
          <w:sz w:val="24"/>
          <w:szCs w:val="24"/>
          <w:rtl/>
        </w:rPr>
        <w:t>המומחה נחקר ע"י ב"כ התובעת לעניין חישוב סכום הפיצוי, והבהיר:</w:t>
      </w:r>
    </w:p>
    <w:p w:rsidR="00431038" w:rsidRDefault="00431038" w:rsidP="00431038">
      <w:pPr>
        <w:pStyle w:val="aa"/>
        <w:spacing w:line="360" w:lineRule="auto"/>
        <w:ind w:right="567"/>
        <w:jc w:val="both"/>
        <w:rPr>
          <w:rFonts w:ascii="David" w:hAnsi="David" w:cs="David"/>
          <w:sz w:val="24"/>
          <w:szCs w:val="24"/>
          <w:rtl/>
        </w:rPr>
      </w:pPr>
      <w:r>
        <w:rPr>
          <w:rFonts w:ascii="FrankRuehl" w:hAnsi="FrankRuehl" w:cs="FrankRuehl"/>
          <w:b/>
          <w:bCs/>
          <w:sz w:val="24"/>
          <w:szCs w:val="24"/>
          <w:rtl/>
        </w:rPr>
        <w:t xml:space="preserve">"חוות הדעת הראשונה מתאריך 15/10/20 שנעשתה על ידי התייחסה למזונות שנקבעו בסך 3,600 ₪ ... בשאלות ההבהרה שקיבלתי נמסר לי שהמזונות הם 6,100 (תיקון שלי ל-ד.ח) ₪ ולא 3,600 ₪, בהתאם לזה תיקנתי את חישוב הפרשי ההשתכרות וקיזזתי 6,100 ₪ מתוך הנחה שמדובר במזונות." </w:t>
      </w:r>
      <w:r>
        <w:rPr>
          <w:rFonts w:ascii="David" w:hAnsi="David" w:cs="David"/>
          <w:sz w:val="24"/>
          <w:szCs w:val="24"/>
          <w:rtl/>
        </w:rPr>
        <w:t xml:space="preserve">(שם בעמ' 15 שו' 6-10, פר' מיום 2/5/22). </w:t>
      </w:r>
    </w:p>
    <w:p w:rsidR="00431038" w:rsidRDefault="00431038" w:rsidP="00431038">
      <w:pPr>
        <w:pStyle w:val="aa"/>
        <w:rPr>
          <w:rFonts w:ascii="David" w:hAnsi="David" w:cs="David"/>
          <w:sz w:val="24"/>
          <w:szCs w:val="24"/>
          <w:highlight w:val="yellow"/>
          <w:rtl/>
        </w:rPr>
      </w:pPr>
    </w:p>
    <w:p w:rsidR="00431038" w:rsidRDefault="00431038" w:rsidP="00431038">
      <w:pPr>
        <w:pStyle w:val="aa"/>
        <w:numPr>
          <w:ilvl w:val="0"/>
          <w:numId w:val="1"/>
        </w:numPr>
        <w:spacing w:line="360" w:lineRule="auto"/>
        <w:jc w:val="both"/>
        <w:rPr>
          <w:rFonts w:ascii="David" w:hAnsi="David" w:cs="David"/>
          <w:sz w:val="24"/>
          <w:szCs w:val="24"/>
          <w:rtl/>
        </w:rPr>
      </w:pPr>
      <w:r>
        <w:rPr>
          <w:rFonts w:ascii="David" w:hAnsi="David" w:cs="David"/>
          <w:sz w:val="24"/>
          <w:szCs w:val="24"/>
          <w:rtl/>
        </w:rPr>
        <w:t>כזכור, ביום 9.3.20 נקבעו מזונות הזמניים, והחל מיום 1.3.20 חוייב הנתבע לשלם את מזונות הקטינים בסך 1,200 ₪ לכל קטין, וכן לשאת במלוא תשלום המשכנתא החודשית ומחצית מהוצאות אחזקת המדור,  וסכום זה לטענתו מסתכם בסך  9,978 ₪. משכך,  נשאלת השאלה מה דינם של תשלומי משכנתא וכיצד יש לסווגם, האם כתשלומים הוניים במסגרת דמי המזונות, כעולה מהלכת שוקר (ע"א 864/94 יוסף שוקר נ' יעל שוקר (נבו 20.12.1994)) או שמא כתשלומים על חשבון דמי המזונות (ראה הלכת ברזילאי ע"א 803/85 ראמו ברזילאי נ' שושנה ברזילאי (נבו 31.12.1985)).  בהלכה הפסוקה, אב יהודי מחויב</w:t>
      </w:r>
      <w:r>
        <w:rPr>
          <w:rtl/>
        </w:rPr>
        <w:t xml:space="preserve"> </w:t>
      </w:r>
      <w:r>
        <w:rPr>
          <w:rFonts w:ascii="David" w:hAnsi="David" w:cs="David"/>
          <w:sz w:val="24"/>
          <w:szCs w:val="24"/>
          <w:rtl/>
        </w:rPr>
        <w:t xml:space="preserve">מכוח דיני המזונות והדין העברי לשאת בתשלום "צרכיהם ההכרחיים" של ילדיו הקטינים, הכוללים, בין היתר, מזון, ביגוד, מדור וחלק יחסי מהוצאות אחזקת המדור, בין אם הם מתגוררים עם אמם בשכירות ובין בדירה עליה משלמת האם משכנתא. (ע"א 52/87 </w:t>
      </w:r>
      <w:r>
        <w:rPr>
          <w:rFonts w:ascii="David" w:hAnsi="David" w:cs="David"/>
          <w:b/>
          <w:bCs/>
          <w:sz w:val="24"/>
          <w:szCs w:val="24"/>
          <w:rtl/>
        </w:rPr>
        <w:t>הראל נ' הראל</w:t>
      </w:r>
      <w:r>
        <w:rPr>
          <w:rFonts w:ascii="David" w:hAnsi="David" w:cs="David"/>
          <w:sz w:val="24"/>
          <w:szCs w:val="24"/>
          <w:rtl/>
        </w:rPr>
        <w:t xml:space="preserve"> מיום 12.10.1989 ורע"א 6152/97 </w:t>
      </w:r>
      <w:r>
        <w:rPr>
          <w:rFonts w:ascii="David" w:hAnsi="David" w:cs="David"/>
          <w:b/>
          <w:bCs/>
          <w:sz w:val="24"/>
          <w:szCs w:val="24"/>
          <w:rtl/>
        </w:rPr>
        <w:t>ממו נ' ממו</w:t>
      </w:r>
      <w:r>
        <w:rPr>
          <w:rFonts w:ascii="David" w:hAnsi="David" w:cs="David"/>
          <w:sz w:val="24"/>
          <w:szCs w:val="24"/>
          <w:rtl/>
        </w:rPr>
        <w:t xml:space="preserve"> (נבו 13.01.1998)). כמו כן, בית המשפט לא יאפשר לאב להפסיק לשלם את תשלומי המשכנתא, כך שקורת הגג של האישה והילדים תישמט מעל לראשם, ובעת הפירוד יפסקו דמי מדור לילדים, בין בקביעת שיעור השתתפות האב בדמי השכירות ובין בחיובו להשתתף במשכנתא המשולמת ע"י האם. בהקשר זה קבע ביהמ"ש העליון בבע"מ 853/09 פלוני </w:t>
      </w:r>
      <w:r>
        <w:rPr>
          <w:rFonts w:ascii="David" w:hAnsi="David" w:cs="David"/>
          <w:sz w:val="24"/>
          <w:szCs w:val="24"/>
          <w:rtl/>
        </w:rPr>
        <w:lastRenderedPageBreak/>
        <w:t>נ' פלונית, (26/04/2009) שיש להתחשב בתשלום המשכנתא במסגרת פסיקת מזונות זמניים עד לפירוק השיתוף במקרקעין.</w:t>
      </w:r>
    </w:p>
    <w:p w:rsidR="00431038" w:rsidRDefault="00431038" w:rsidP="00431038">
      <w:pPr>
        <w:pStyle w:val="aa"/>
        <w:rPr>
          <w:rFonts w:ascii="David" w:hAnsi="David" w:cs="David"/>
          <w:sz w:val="24"/>
          <w:szCs w:val="24"/>
          <w:rtl/>
        </w:rPr>
      </w:pPr>
    </w:p>
    <w:p w:rsidR="00431038" w:rsidRDefault="00431038" w:rsidP="00431038">
      <w:pPr>
        <w:pStyle w:val="aa"/>
        <w:numPr>
          <w:ilvl w:val="0"/>
          <w:numId w:val="1"/>
        </w:numPr>
        <w:spacing w:line="360" w:lineRule="auto"/>
        <w:jc w:val="both"/>
        <w:rPr>
          <w:rFonts w:ascii="David" w:hAnsi="David" w:cs="David"/>
        </w:rPr>
      </w:pPr>
      <w:r>
        <w:rPr>
          <w:rFonts w:ascii="David" w:hAnsi="David" w:cs="David"/>
          <w:sz w:val="24"/>
          <w:szCs w:val="24"/>
          <w:rtl/>
        </w:rPr>
        <w:t xml:space="preserve">תשלום המשכנתא, נבחן הן כרכיב הוני והן כרכיב של מזונות בבחינת חיוב מדור "רעיוני". בתמ"ש (משפחה תל אביב-יפו) 19574/96 יוליה קטינה נ' מתתוב איליה (נבו 04.06.2001) התווה כב' השופט גייפמן את הכללים לבחינת רכיב המשכנתא כרכיב מזונות:  </w:t>
      </w:r>
    </w:p>
    <w:p w:rsidR="00431038" w:rsidRDefault="00431038" w:rsidP="00431038">
      <w:pPr>
        <w:pStyle w:val="aa"/>
        <w:spacing w:line="360" w:lineRule="auto"/>
        <w:ind w:left="1076" w:right="284"/>
        <w:jc w:val="both"/>
        <w:rPr>
          <w:rFonts w:ascii="David" w:hAnsi="David" w:cs="David"/>
          <w:b/>
          <w:bCs/>
          <w:rtl/>
        </w:rPr>
      </w:pPr>
      <w:r>
        <w:rPr>
          <w:rFonts w:ascii="David" w:hAnsi="David" w:cs="David"/>
          <w:b/>
          <w:bCs/>
          <w:rtl/>
        </w:rPr>
        <w:t xml:space="preserve">"(א) כאשר משולמת משכנתא חודשית ע"י בן - הזוג או הורה, החיוב מדין המזונות הוא בגדר חיוב של מדור רעיוני, שהרי ללא המשכנתא היה על בן - הזוג או ההורה לשכור דירה ולבקש חיוב הבעל - האב בחלק מרכיב שכר - הדירה או במלוא שכר - הדירה לפי הנסיבות. </w:t>
      </w:r>
    </w:p>
    <w:p w:rsidR="00431038" w:rsidRDefault="00431038" w:rsidP="00431038">
      <w:pPr>
        <w:pStyle w:val="aa"/>
        <w:spacing w:line="360" w:lineRule="auto"/>
        <w:ind w:left="1076" w:right="284"/>
        <w:jc w:val="both"/>
        <w:rPr>
          <w:rFonts w:ascii="David" w:hAnsi="David" w:cs="David"/>
          <w:b/>
          <w:bCs/>
        </w:rPr>
      </w:pPr>
      <w:r>
        <w:rPr>
          <w:rFonts w:ascii="David" w:hAnsi="David" w:cs="David"/>
          <w:b/>
          <w:bCs/>
          <w:rtl/>
        </w:rPr>
        <w:t xml:space="preserve">(ב) בן - הזוג או ההורה אמנם מגדיל את הונו באמצעות חיוב זה של מדור רעיוני שנפסק לטובתו, אולם לבעל - האב לא נגרם חסרון כיס, שהרי ממילא היה חב בגין מדור חלופי לפי מפתח של שכר - דירה סביר וחלקם של האשה ו/או הקטינים ברכיב זה. </w:t>
      </w:r>
    </w:p>
    <w:p w:rsidR="00431038" w:rsidRDefault="00431038" w:rsidP="00431038">
      <w:pPr>
        <w:pStyle w:val="aa"/>
        <w:spacing w:line="360" w:lineRule="auto"/>
        <w:ind w:left="1076" w:right="284"/>
        <w:jc w:val="both"/>
        <w:rPr>
          <w:rFonts w:ascii="David" w:hAnsi="David" w:cs="David"/>
          <w:b/>
          <w:bCs/>
          <w:rtl/>
        </w:rPr>
      </w:pPr>
      <w:r>
        <w:rPr>
          <w:rFonts w:ascii="David" w:hAnsi="David" w:cs="David"/>
          <w:b/>
          <w:bCs/>
          <w:rtl/>
        </w:rPr>
        <w:t xml:space="preserve">(ג) כאשר החזר המשכנתא החודשית גבוה, וחורג מעלות שכר - דירה סביר, שניתן לאשרו, רכיב המדור הרעיוני יחושב לפי שווי שכר - דירה סביר, ויתרת המשכנתא החודשית תהיה בגדר רכיב הוני, שאין על הבעל - האב להשתתף בו. תרופתה של האשה במקרה זה - בפריסת המשכנתא לתקופה ממושכת יותר תוך הקטנת השיעורים של התשלומים החודשיים. </w:t>
      </w:r>
    </w:p>
    <w:p w:rsidR="00431038" w:rsidRDefault="00431038" w:rsidP="00431038">
      <w:pPr>
        <w:pStyle w:val="aa"/>
        <w:spacing w:line="360" w:lineRule="auto"/>
        <w:ind w:left="1076" w:right="284"/>
        <w:jc w:val="both"/>
        <w:rPr>
          <w:rFonts w:ascii="David" w:hAnsi="David" w:cs="David"/>
          <w:b/>
          <w:bCs/>
          <w:rtl/>
        </w:rPr>
      </w:pPr>
      <w:r>
        <w:rPr>
          <w:rFonts w:ascii="David" w:hAnsi="David" w:cs="David"/>
          <w:b/>
          <w:bCs/>
          <w:rtl/>
        </w:rPr>
        <w:t>(ד) המדור הינו בגדר צרכים הכרחיים. שיעור החיוב במדור רעיוני מותנה בהכנסות ההורים ובשיעור ההתפלגות של הרכיב בין האם לבין הילדים.</w:t>
      </w:r>
    </w:p>
    <w:p w:rsidR="00431038" w:rsidRDefault="00431038" w:rsidP="00431038">
      <w:pPr>
        <w:pStyle w:val="aa"/>
        <w:spacing w:line="360" w:lineRule="auto"/>
        <w:ind w:left="1076" w:right="284"/>
        <w:jc w:val="both"/>
        <w:rPr>
          <w:rFonts w:ascii="David" w:hAnsi="David" w:cs="David"/>
          <w:b/>
          <w:bCs/>
          <w:rtl/>
        </w:rPr>
      </w:pPr>
      <w:r>
        <w:rPr>
          <w:rFonts w:ascii="David" w:hAnsi="David" w:cs="David"/>
          <w:b/>
          <w:bCs/>
          <w:rtl/>
        </w:rPr>
        <w:t>בהרכב משפחה של אם + ילד - חלקה של האם 70% וחלקו של הקטין 30%.</w:t>
      </w:r>
    </w:p>
    <w:p w:rsidR="00431038" w:rsidRDefault="00431038" w:rsidP="00431038">
      <w:pPr>
        <w:pStyle w:val="aa"/>
        <w:spacing w:line="360" w:lineRule="auto"/>
        <w:ind w:left="1076" w:right="284"/>
        <w:jc w:val="both"/>
        <w:rPr>
          <w:rFonts w:ascii="David" w:hAnsi="David" w:cs="David"/>
          <w:b/>
          <w:bCs/>
          <w:rtl/>
        </w:rPr>
      </w:pPr>
      <w:r>
        <w:rPr>
          <w:rFonts w:ascii="David" w:hAnsi="David" w:cs="David"/>
          <w:b/>
          <w:bCs/>
          <w:rtl/>
        </w:rPr>
        <w:t>בהרכב משפחה של אם + 2 ילדים - חלקה של האם 60% ושל הילדים 40%.</w:t>
      </w:r>
    </w:p>
    <w:p w:rsidR="00431038" w:rsidRDefault="00431038" w:rsidP="00431038">
      <w:pPr>
        <w:pStyle w:val="aa"/>
        <w:spacing w:line="360" w:lineRule="auto"/>
        <w:ind w:left="1076" w:right="284"/>
        <w:jc w:val="both"/>
        <w:rPr>
          <w:rFonts w:ascii="David" w:hAnsi="David" w:cs="David"/>
          <w:b/>
          <w:bCs/>
          <w:rtl/>
        </w:rPr>
      </w:pPr>
      <w:r>
        <w:rPr>
          <w:rFonts w:ascii="David" w:hAnsi="David" w:cs="David"/>
          <w:b/>
          <w:bCs/>
          <w:rtl/>
        </w:rPr>
        <w:t>בהרכב משפחה של אם + 3 ילדים - חלקה של האם - 50% ושל 3 הילדים 50%"</w:t>
      </w:r>
    </w:p>
    <w:p w:rsidR="00431038" w:rsidRDefault="00431038" w:rsidP="00431038">
      <w:pPr>
        <w:pStyle w:val="aa"/>
        <w:spacing w:line="360" w:lineRule="auto"/>
        <w:ind w:left="1076" w:right="284"/>
        <w:jc w:val="both"/>
        <w:rPr>
          <w:rFonts w:ascii="David" w:hAnsi="David" w:cs="David"/>
          <w:b/>
          <w:bCs/>
          <w:rtl/>
        </w:rPr>
      </w:pPr>
    </w:p>
    <w:p w:rsidR="00431038" w:rsidRDefault="00431038" w:rsidP="00431038">
      <w:pPr>
        <w:pStyle w:val="aa"/>
        <w:numPr>
          <w:ilvl w:val="0"/>
          <w:numId w:val="1"/>
        </w:numPr>
        <w:spacing w:line="360" w:lineRule="auto"/>
        <w:jc w:val="both"/>
        <w:rPr>
          <w:rFonts w:ascii="David" w:hAnsi="David" w:cs="David"/>
          <w:b/>
          <w:bCs/>
          <w:rtl/>
        </w:rPr>
      </w:pPr>
      <w:r>
        <w:rPr>
          <w:rFonts w:ascii="David" w:hAnsi="David" w:cs="David"/>
          <w:sz w:val="24"/>
          <w:szCs w:val="24"/>
          <w:rtl/>
        </w:rPr>
        <w:t>בעניינו, פרנסת התא המשפחתי נשענה על הכנסות הנתבע; משכך, ועל מנת לשמר את המצב הקיים של הקטינים, חויב במדור רעיוני, כלומר, להמשיך לשאת בדמי המשכנתא כחלק מדמי המזונות. לצד זאת נקבע שככל ויופרדו מגורי הצדדים, יוכל מי מהם להגיש בקשה בשאלת המדור ואחזקתו. ביום 10.3.20 נחתם חוזה למכירת דירת הצדדים (הוגש לתיק ביום 24.3.20 ע"י הנתבע) תמורת סך של 1,360,000 ₪. לאחר סילוק הלוואת המשכנתא בסך 206,000 ₪, נותר בידי כל צד, סך של 577,000 ₪. בהמשך, התובעת יחד עם הקטינים עברו להתגורר בשכירות, ובהתאם להחלטה, עתרה לפסיקת דמי מדור ואחזקתו. מכאן, חוייב הנתבע בתשלום מזונות עבור הקטינים בתקופות, כדלקמן:</w:t>
      </w:r>
    </w:p>
    <w:p w:rsidR="00431038" w:rsidRDefault="00431038" w:rsidP="00431038">
      <w:pPr>
        <w:pStyle w:val="aa"/>
        <w:numPr>
          <w:ilvl w:val="0"/>
          <w:numId w:val="6"/>
        </w:numPr>
        <w:spacing w:line="360" w:lineRule="auto"/>
        <w:jc w:val="both"/>
        <w:rPr>
          <w:rFonts w:ascii="David" w:hAnsi="David" w:cs="David"/>
          <w:b/>
          <w:bCs/>
        </w:rPr>
      </w:pPr>
      <w:r>
        <w:rPr>
          <w:rFonts w:ascii="David" w:hAnsi="David" w:cs="David"/>
          <w:sz w:val="24"/>
          <w:szCs w:val="24"/>
          <w:rtl/>
        </w:rPr>
        <w:t xml:space="preserve">ביום 9.3.20 חויב בתשלום סך של 1,200 ₪ לחודש בעבור כל קטין (סה"כ 3,600 ₪). שעה שהצדדים התגוררו תחת קורת גג אחת, חויב להמשיך ולשאת במלוא תשלומי המשכנתא (ע"ס 4,878 ₪) ומחצית מהוצאות אחזקת המדור (שהסתכמו בסך של  כ- 1,500 ₪ בהתאם להצהרת התובעת), וזאת החל מיום 1.3.20. מכאן, סכום המזונות הכולל היה כ-  </w:t>
      </w:r>
      <w:r>
        <w:rPr>
          <w:rFonts w:ascii="David" w:hAnsi="David" w:cs="David"/>
          <w:b/>
          <w:bCs/>
          <w:sz w:val="24"/>
          <w:szCs w:val="24"/>
          <w:rtl/>
        </w:rPr>
        <w:t>9,978 ₪ החל מיום 1.3.20.</w:t>
      </w:r>
    </w:p>
    <w:p w:rsidR="00431038" w:rsidRDefault="00431038" w:rsidP="00431038">
      <w:pPr>
        <w:pStyle w:val="aa"/>
        <w:spacing w:line="240" w:lineRule="auto"/>
        <w:jc w:val="both"/>
        <w:rPr>
          <w:rFonts w:ascii="David" w:hAnsi="David" w:cs="David"/>
          <w:b/>
          <w:bCs/>
          <w:rtl/>
        </w:rPr>
      </w:pPr>
    </w:p>
    <w:p w:rsidR="00431038" w:rsidRDefault="00431038" w:rsidP="00431038">
      <w:pPr>
        <w:pStyle w:val="aa"/>
        <w:numPr>
          <w:ilvl w:val="0"/>
          <w:numId w:val="6"/>
        </w:numPr>
        <w:spacing w:line="360" w:lineRule="auto"/>
        <w:jc w:val="both"/>
        <w:rPr>
          <w:rFonts w:ascii="David" w:hAnsi="David" w:cs="David"/>
          <w:b/>
          <w:bCs/>
        </w:rPr>
      </w:pPr>
      <w:r>
        <w:rPr>
          <w:rFonts w:ascii="David" w:hAnsi="David" w:cs="David"/>
          <w:sz w:val="24"/>
          <w:szCs w:val="24"/>
          <w:rtl/>
        </w:rPr>
        <w:t>ביום 24.5.20 חוייב הנתבע בתשלום הוצאות מדור הקטינים בסך 1,900 ₪ וכן במחצית מהוצאות אחזקת המדור בהתאם לחשבוניות שיומצאו לידיו, בנוסף לתשלום מזונות בסך 3,600 ₪, וזאת החל מיום 1.6.20.</w:t>
      </w:r>
      <w:r>
        <w:rPr>
          <w:rFonts w:ascii="David" w:hAnsi="David" w:cs="David"/>
          <w:b/>
          <w:bCs/>
          <w:rtl/>
        </w:rPr>
        <w:t xml:space="preserve"> </w:t>
      </w:r>
      <w:r>
        <w:rPr>
          <w:rFonts w:ascii="David" w:hAnsi="David" w:cs="David"/>
          <w:sz w:val="24"/>
          <w:szCs w:val="24"/>
          <w:rtl/>
        </w:rPr>
        <w:t xml:space="preserve">אציין, שמקום בו בהתאם להחלטה מיום 24.5.20 חוייב הנתבע בתשלום מזונות ומדור בסך 5,500 ₪ ובנוסף, בעלות מחצית מעלויות אחזקת המדור, ולאור הסכמת הצדדים מיום 2.12.20 בהתאם לה ניתן פס"ד, מצאתי שהמדובר בסכומים זהים בקירוב. </w:t>
      </w:r>
    </w:p>
    <w:p w:rsidR="00431038" w:rsidRDefault="00431038" w:rsidP="00431038">
      <w:pPr>
        <w:pStyle w:val="aa"/>
        <w:spacing w:line="240" w:lineRule="auto"/>
        <w:rPr>
          <w:rFonts w:ascii="David" w:hAnsi="David" w:cs="David"/>
          <w:sz w:val="24"/>
          <w:szCs w:val="24"/>
        </w:rPr>
      </w:pPr>
    </w:p>
    <w:p w:rsidR="00431038" w:rsidRDefault="00431038" w:rsidP="00431038">
      <w:pPr>
        <w:pStyle w:val="aa"/>
        <w:numPr>
          <w:ilvl w:val="0"/>
          <w:numId w:val="6"/>
        </w:numPr>
        <w:spacing w:line="360" w:lineRule="auto"/>
        <w:jc w:val="both"/>
        <w:rPr>
          <w:rFonts w:ascii="David" w:hAnsi="David" w:cs="David"/>
          <w:b/>
          <w:bCs/>
        </w:rPr>
      </w:pPr>
      <w:r>
        <w:rPr>
          <w:rFonts w:ascii="David" w:hAnsi="David" w:cs="David"/>
          <w:sz w:val="24"/>
          <w:szCs w:val="24"/>
          <w:rtl/>
        </w:rPr>
        <w:t>ביום 2.12.20 הגיעו הצדדים להסכמה שקיבלה תוקף של פס"ד, לפיה דמי המזונות, כולל מדור ואחזקתו נקבעו בסך של 6,100 ₪, בחלוקה שווה עבור כל קטין.</w:t>
      </w:r>
    </w:p>
    <w:p w:rsidR="00431038" w:rsidRDefault="00431038" w:rsidP="00431038">
      <w:pPr>
        <w:pStyle w:val="aa"/>
        <w:rPr>
          <w:rFonts w:ascii="David" w:hAnsi="David" w:cs="David"/>
          <w:sz w:val="24"/>
          <w:szCs w:val="24"/>
        </w:rPr>
      </w:pPr>
    </w:p>
    <w:p w:rsidR="00431038" w:rsidRDefault="00431038" w:rsidP="00431038">
      <w:pPr>
        <w:pStyle w:val="aa"/>
        <w:numPr>
          <w:ilvl w:val="0"/>
          <w:numId w:val="1"/>
        </w:numPr>
        <w:spacing w:line="360" w:lineRule="auto"/>
        <w:jc w:val="both"/>
        <w:rPr>
          <w:rFonts w:ascii="David" w:hAnsi="David" w:cs="David"/>
          <w:b/>
          <w:bCs/>
          <w:sz w:val="24"/>
          <w:szCs w:val="24"/>
          <w:rtl/>
        </w:rPr>
      </w:pPr>
      <w:r>
        <w:rPr>
          <w:rFonts w:ascii="David" w:hAnsi="David" w:cs="David"/>
          <w:sz w:val="24"/>
          <w:szCs w:val="24"/>
          <w:rtl/>
        </w:rPr>
        <w:t xml:space="preserve">מכאן, לבחינת סכום הפיצוי שעל הנתבע להעביר לתובעת בגין נכסי הקריירה והפרשי השתכרות, יש לקזז את מלוא הסכום שהתקבל ומתקבל בידיה עבור מזונות הקטינים, כולל מדור ואחזקתו. שעה שהתובע נשא בתשלומי מזונות שונים, יש לערוך את החישוב בהתאם לסכומים ששולמו בפועל. בהתאמה לכך, יש להביא בחשבון את התשלומים אשר שולמו וישולמו בהתאם לגילאי הילדים, שכן עם הגיעם לגיל 18 או סיום בית הספר התיכון, הסכום מופחת לכדי 1/3 מהסכום האחרון ששולם. מכאן, אני קובעת את דמי המזונות, ללא קיזוז בהתאם לגיל הילדים,  כדלהלן: </w:t>
      </w:r>
    </w:p>
    <w:p w:rsidR="00431038" w:rsidRDefault="00431038" w:rsidP="00431038">
      <w:pPr>
        <w:pStyle w:val="aa"/>
        <w:numPr>
          <w:ilvl w:val="0"/>
          <w:numId w:val="7"/>
        </w:numPr>
        <w:rPr>
          <w:rFonts w:ascii="David" w:hAnsi="David" w:cs="David"/>
          <w:sz w:val="24"/>
          <w:szCs w:val="24"/>
        </w:rPr>
      </w:pPr>
      <w:r>
        <w:rPr>
          <w:rFonts w:ascii="David" w:hAnsi="David" w:cs="David"/>
          <w:b/>
          <w:bCs/>
          <w:sz w:val="24"/>
          <w:szCs w:val="24"/>
          <w:rtl/>
        </w:rPr>
        <w:t>החל מיום 1.3.20 דמי המזונות עמדו בסה"כ מוערך של 9,978 ₪.</w:t>
      </w:r>
    </w:p>
    <w:p w:rsidR="00431038" w:rsidRDefault="00431038" w:rsidP="00431038">
      <w:pPr>
        <w:pStyle w:val="aa"/>
        <w:numPr>
          <w:ilvl w:val="0"/>
          <w:numId w:val="7"/>
        </w:numPr>
        <w:rPr>
          <w:rFonts w:ascii="David" w:hAnsi="David" w:cs="David"/>
          <w:sz w:val="24"/>
          <w:szCs w:val="24"/>
          <w:rtl/>
        </w:rPr>
      </w:pPr>
      <w:r>
        <w:rPr>
          <w:rFonts w:ascii="David" w:hAnsi="David" w:cs="David"/>
          <w:b/>
          <w:bCs/>
          <w:sz w:val="24"/>
          <w:szCs w:val="24"/>
          <w:rtl/>
        </w:rPr>
        <w:t xml:space="preserve">החל מיום 1.6.20 דמי המזונות עמדו ע"ס כולל של 6,100 ₪. </w:t>
      </w:r>
    </w:p>
    <w:p w:rsidR="00431038" w:rsidRDefault="00431038" w:rsidP="00431038">
      <w:pPr>
        <w:rPr>
          <w:rFonts w:ascii="David" w:hAnsi="David"/>
          <w:rtl/>
        </w:rPr>
      </w:pPr>
    </w:p>
    <w:p w:rsidR="00431038" w:rsidRDefault="00431038" w:rsidP="00431038">
      <w:pPr>
        <w:pStyle w:val="aa"/>
        <w:numPr>
          <w:ilvl w:val="0"/>
          <w:numId w:val="1"/>
        </w:numPr>
        <w:spacing w:line="360" w:lineRule="auto"/>
        <w:jc w:val="both"/>
        <w:rPr>
          <w:rFonts w:ascii="David" w:hAnsi="David" w:cs="David"/>
          <w:sz w:val="24"/>
          <w:szCs w:val="24"/>
          <w:rtl/>
        </w:rPr>
      </w:pPr>
      <w:r>
        <w:rPr>
          <w:rFonts w:ascii="David" w:hAnsi="David" w:cs="David"/>
          <w:b/>
          <w:bCs/>
          <w:sz w:val="24"/>
          <w:szCs w:val="24"/>
          <w:u w:val="single"/>
          <w:rtl/>
        </w:rPr>
        <w:t>כעת אדרש לפוטנציאל ההשתכרות של הנתבע אותו קבע המומחה</w:t>
      </w:r>
      <w:r>
        <w:rPr>
          <w:rFonts w:ascii="David" w:hAnsi="David" w:cs="David"/>
          <w:b/>
          <w:bCs/>
          <w:sz w:val="24"/>
          <w:szCs w:val="24"/>
          <w:rtl/>
        </w:rPr>
        <w:t xml:space="preserve">; </w:t>
      </w:r>
      <w:r>
        <w:rPr>
          <w:rFonts w:ascii="David" w:hAnsi="David" w:cs="David"/>
          <w:sz w:val="24"/>
          <w:szCs w:val="24"/>
          <w:rtl/>
        </w:rPr>
        <w:t>בחוות דעתו, זקף המומחה לנתבע פוטנציאל השתכרות בסך 15,348 ₪ (סעיף 4.14 לחו"ד). במסגרת חקירתו, התייחס המומחה לשווי הטבת הרכב, אשר נזקפה לטובת עובדת אחרת בחברה, עבור רכב בו הנתבע עשה שימוש,  והשפעתה על פוטנציאל ההשתכרות. וכך הצהיר (ראה עמוד 17 שורות 1-24);</w:t>
      </w:r>
    </w:p>
    <w:p w:rsidR="00431038" w:rsidRDefault="00431038" w:rsidP="00431038">
      <w:pPr>
        <w:spacing w:line="360" w:lineRule="auto"/>
        <w:ind w:left="1440" w:hanging="720"/>
        <w:jc w:val="both"/>
        <w:rPr>
          <w:noProof w:val="0"/>
        </w:rPr>
      </w:pPr>
      <w:r>
        <w:rPr>
          <w:rFonts w:ascii="FrankRuehl" w:hAnsi="FrankRuehl" w:cs="FrankRuehl"/>
          <w:rtl/>
        </w:rPr>
        <w:t>ת.</w:t>
      </w:r>
      <w:r>
        <w:rPr>
          <w:rFonts w:ascii="FrankRuehl" w:hAnsi="FrankRuehl" w:cs="FrankRuehl"/>
          <w:rtl/>
        </w:rPr>
        <w:tab/>
        <w:t>לשאלת בית המשפט בטבלה שכתבתי שכר עבודה, האם האדון עבד בחברה או היו עוד אנשים נוספים – אני משיב: בחברה רשומה עובדת נוספת שהיא מנהלת חשבונות ואני חושב שהיה עוד עובד נוסף במשרה חלקית / מלאה והאדון. לשאלת בית המשפט, החישוב נעשה לאחר שהופחתה משכורתו של האיש כפי שמפורט בטבלה בעמוד 21 תחת 'שכר עבודה'.</w:t>
      </w:r>
    </w:p>
    <w:p w:rsidR="00431038" w:rsidRDefault="00431038" w:rsidP="00431038">
      <w:pPr>
        <w:pStyle w:val="aa"/>
        <w:spacing w:line="360" w:lineRule="auto"/>
        <w:ind w:left="1440" w:right="567" w:hanging="720"/>
        <w:jc w:val="both"/>
        <w:rPr>
          <w:rFonts w:ascii="FrankRuehl" w:hAnsi="FrankRuehl" w:cs="FrankRuehl"/>
          <w:sz w:val="24"/>
          <w:szCs w:val="24"/>
        </w:rPr>
      </w:pPr>
      <w:r>
        <w:rPr>
          <w:rtl/>
        </w:rPr>
        <w:tab/>
      </w:r>
      <w:r>
        <w:rPr>
          <w:rFonts w:ascii="FrankRuehl" w:hAnsi="FrankRuehl" w:cs="FrankRuehl"/>
          <w:sz w:val="24"/>
          <w:szCs w:val="24"/>
          <w:rtl/>
        </w:rPr>
        <w:t xml:space="preserve">נקודה נוספת, במשכורת של העובדת יש זקיפה, נקודה שחשוב להבין אותה, של כ 6,000  ₪ שווי רכב שלא שייך לעובדת אלא שייך לאדון עצמו – זה כנראה רכב יקר, זה 6,000 ₪ לחודש שווי רכב שנזקף למשכורת של הגברת על מנת לא  לשלם את המס על השווי הזה כיוון שהמשכורת שלה נמוכה. אם זה היה נזקף במשכורת שלו אז המס היה גבוה  יותר. זאת אומרת שלמשכורת של האדון צריך להוסיף עוד 6,000 ₪ על זקיפת רכב. </w:t>
      </w:r>
    </w:p>
    <w:p w:rsidR="00431038" w:rsidRDefault="00431038" w:rsidP="00431038">
      <w:pPr>
        <w:pStyle w:val="aa"/>
        <w:spacing w:line="360" w:lineRule="auto"/>
        <w:ind w:right="567"/>
        <w:jc w:val="both"/>
        <w:rPr>
          <w:rFonts w:ascii="FrankRuehl" w:hAnsi="FrankRuehl" w:cs="FrankRuehl"/>
          <w:b/>
          <w:bCs/>
          <w:sz w:val="24"/>
          <w:szCs w:val="24"/>
          <w:rtl/>
        </w:rPr>
      </w:pPr>
      <w:r>
        <w:rPr>
          <w:rFonts w:ascii="FrankRuehl" w:hAnsi="FrankRuehl" w:cs="FrankRuehl"/>
          <w:b/>
          <w:bCs/>
          <w:sz w:val="24"/>
          <w:szCs w:val="24"/>
          <w:rtl/>
        </w:rPr>
        <w:t>ש.</w:t>
      </w:r>
      <w:r>
        <w:rPr>
          <w:rFonts w:ascii="FrankRuehl" w:hAnsi="FrankRuehl" w:cs="FrankRuehl"/>
          <w:b/>
          <w:bCs/>
          <w:sz w:val="24"/>
          <w:szCs w:val="24"/>
          <w:rtl/>
        </w:rPr>
        <w:tab/>
        <w:t xml:space="preserve">איפה הנתון הזה מופיע בחוות דעתך על הזקיפת רכב? </w:t>
      </w:r>
    </w:p>
    <w:p w:rsidR="00431038" w:rsidRDefault="00431038" w:rsidP="00431038">
      <w:pPr>
        <w:pStyle w:val="aa"/>
        <w:spacing w:line="360" w:lineRule="auto"/>
        <w:ind w:right="567"/>
        <w:jc w:val="both"/>
        <w:rPr>
          <w:rFonts w:ascii="FrankRuehl" w:hAnsi="FrankRuehl" w:cs="FrankRuehl"/>
          <w:sz w:val="24"/>
          <w:szCs w:val="24"/>
        </w:rPr>
      </w:pPr>
      <w:r>
        <w:rPr>
          <w:rFonts w:ascii="FrankRuehl" w:hAnsi="FrankRuehl" w:cs="FrankRuehl"/>
          <w:sz w:val="24"/>
          <w:szCs w:val="24"/>
          <w:rtl/>
        </w:rPr>
        <w:lastRenderedPageBreak/>
        <w:t>ת.</w:t>
      </w:r>
      <w:r>
        <w:rPr>
          <w:rFonts w:ascii="FrankRuehl" w:hAnsi="FrankRuehl" w:cs="FrankRuehl"/>
          <w:sz w:val="24"/>
          <w:szCs w:val="24"/>
          <w:rtl/>
        </w:rPr>
        <w:tab/>
        <w:t xml:space="preserve">מופיע בעמוד 17 בטבלה. </w:t>
      </w:r>
    </w:p>
    <w:p w:rsidR="00431038" w:rsidRDefault="00431038" w:rsidP="00431038">
      <w:pPr>
        <w:pStyle w:val="aa"/>
        <w:spacing w:line="360" w:lineRule="auto"/>
        <w:ind w:right="567"/>
        <w:jc w:val="both"/>
        <w:rPr>
          <w:rFonts w:ascii="FrankRuehl" w:hAnsi="FrankRuehl" w:cs="FrankRuehl"/>
          <w:b/>
          <w:bCs/>
          <w:sz w:val="24"/>
          <w:szCs w:val="24"/>
          <w:rtl/>
        </w:rPr>
      </w:pPr>
      <w:r>
        <w:rPr>
          <w:rFonts w:ascii="FrankRuehl" w:hAnsi="FrankRuehl" w:cs="FrankRuehl"/>
          <w:b/>
          <w:bCs/>
          <w:sz w:val="24"/>
          <w:szCs w:val="24"/>
          <w:rtl/>
        </w:rPr>
        <w:t>ש.</w:t>
      </w:r>
      <w:r>
        <w:rPr>
          <w:rFonts w:ascii="FrankRuehl" w:hAnsi="FrankRuehl" w:cs="FrankRuehl"/>
          <w:b/>
          <w:bCs/>
          <w:sz w:val="24"/>
          <w:szCs w:val="24"/>
          <w:rtl/>
        </w:rPr>
        <w:tab/>
        <w:t>בטבלה ציינת שיש תרגילי מס?</w:t>
      </w:r>
    </w:p>
    <w:p w:rsidR="00431038" w:rsidRDefault="00431038" w:rsidP="00431038">
      <w:pPr>
        <w:pStyle w:val="aa"/>
        <w:spacing w:line="360" w:lineRule="auto"/>
        <w:ind w:left="1440" w:right="567" w:hanging="720"/>
        <w:jc w:val="both"/>
        <w:rPr>
          <w:rFonts w:ascii="FrankRuehl" w:hAnsi="FrankRuehl" w:cs="FrankRuehl"/>
          <w:sz w:val="24"/>
          <w:szCs w:val="24"/>
          <w:rtl/>
        </w:rPr>
      </w:pPr>
      <w:r>
        <w:rPr>
          <w:rFonts w:ascii="FrankRuehl" w:hAnsi="FrankRuehl" w:cs="FrankRuehl"/>
          <w:sz w:val="24"/>
          <w:szCs w:val="24"/>
          <w:rtl/>
        </w:rPr>
        <w:t>ת.</w:t>
      </w:r>
      <w:r>
        <w:rPr>
          <w:rFonts w:ascii="FrankRuehl" w:hAnsi="FrankRuehl" w:cs="FrankRuehl"/>
          <w:sz w:val="24"/>
          <w:szCs w:val="24"/>
          <w:rtl/>
        </w:rPr>
        <w:tab/>
        <w:t xml:space="preserve">לא ציינתי. בטבלה יש את המשכורת שלו ויש שווי רכב. לשאלתך, לא גילמתי את זה.  החישוב נטו של השכר זה המשכורת החודשית פחות המס הזה ללא התחשבות ב 5,890 ₪. </w:t>
      </w:r>
    </w:p>
    <w:p w:rsidR="00431038" w:rsidRDefault="00431038" w:rsidP="00431038">
      <w:pPr>
        <w:pStyle w:val="aa"/>
        <w:spacing w:line="360" w:lineRule="auto"/>
        <w:ind w:left="1440" w:right="567" w:hanging="720"/>
        <w:jc w:val="both"/>
        <w:rPr>
          <w:rFonts w:ascii="FrankRuehl" w:hAnsi="FrankRuehl" w:cs="FrankRuehl"/>
          <w:b/>
          <w:bCs/>
          <w:sz w:val="24"/>
          <w:szCs w:val="24"/>
          <w:rtl/>
        </w:rPr>
      </w:pPr>
      <w:r>
        <w:rPr>
          <w:rFonts w:ascii="FrankRuehl" w:hAnsi="FrankRuehl" w:cs="FrankRuehl"/>
          <w:b/>
          <w:bCs/>
          <w:sz w:val="24"/>
          <w:szCs w:val="24"/>
          <w:rtl/>
        </w:rPr>
        <w:t>ש.</w:t>
      </w:r>
      <w:r>
        <w:rPr>
          <w:rFonts w:ascii="FrankRuehl" w:hAnsi="FrankRuehl" w:cs="FrankRuehl"/>
          <w:b/>
          <w:bCs/>
          <w:sz w:val="24"/>
          <w:szCs w:val="24"/>
          <w:rtl/>
        </w:rPr>
        <w:tab/>
        <w:t xml:space="preserve">אני יכול להגיד בעצם שאם היית מגלם את השכר הזה, שכרו נטו היה נמוך יותר  בהתאמה לעניין פערי השכר? </w:t>
      </w:r>
    </w:p>
    <w:p w:rsidR="00431038" w:rsidRDefault="00431038" w:rsidP="00431038">
      <w:pPr>
        <w:pStyle w:val="aa"/>
        <w:spacing w:line="360" w:lineRule="auto"/>
        <w:ind w:left="1440" w:right="567" w:hanging="720"/>
        <w:jc w:val="both"/>
        <w:rPr>
          <w:rFonts w:ascii="FrankRuehl" w:hAnsi="FrankRuehl" w:cs="FrankRuehl"/>
          <w:sz w:val="24"/>
          <w:szCs w:val="24"/>
          <w:highlight w:val="yellow"/>
          <w:rtl/>
        </w:rPr>
      </w:pPr>
      <w:r>
        <w:rPr>
          <w:rFonts w:ascii="FrankRuehl" w:hAnsi="FrankRuehl" w:cs="FrankRuehl"/>
          <w:sz w:val="24"/>
          <w:szCs w:val="24"/>
          <w:rtl/>
        </w:rPr>
        <w:t>ת.</w:t>
      </w:r>
      <w:r>
        <w:rPr>
          <w:rFonts w:ascii="FrankRuehl" w:hAnsi="FrankRuehl" w:cs="FrankRuehl"/>
          <w:sz w:val="24"/>
          <w:szCs w:val="24"/>
          <w:rtl/>
        </w:rPr>
        <w:tab/>
        <w:t>מצד אחד היה צריך להוריד 30-40% מס, מצד שני יש לו הטבה של 6,000 ₪. זה היה  יורד ב 30% מה 6,000 ₪. בסך הכל אם אתה מסתכל, אתה צריך להוסיף ל 14,000 ₪ - צריך להוסיף 70% מה 6,000 ₪. צריך להוסיף עוד 4,200 ₪. יש לו הטבה של 6,000 מצד אחד וזה 20,000 ₪. תוריד מזה 1,800 ₪ מס שהוא צריך לשלם מה 6,000 ₪, זה יוצא 18,200 ₪.</w:t>
      </w:r>
    </w:p>
    <w:p w:rsidR="00431038" w:rsidRDefault="00431038" w:rsidP="00431038">
      <w:pPr>
        <w:pStyle w:val="aa"/>
        <w:spacing w:line="360" w:lineRule="auto"/>
        <w:ind w:right="567"/>
        <w:jc w:val="both"/>
        <w:rPr>
          <w:rFonts w:ascii="FrankRuehl" w:hAnsi="FrankRuehl" w:cs="FrankRuehl"/>
          <w:b/>
          <w:bCs/>
          <w:sz w:val="24"/>
          <w:szCs w:val="24"/>
          <w:rtl/>
        </w:rPr>
      </w:pPr>
      <w:r>
        <w:rPr>
          <w:rFonts w:ascii="FrankRuehl" w:hAnsi="FrankRuehl" w:cs="FrankRuehl"/>
          <w:b/>
          <w:bCs/>
          <w:sz w:val="24"/>
          <w:szCs w:val="24"/>
          <w:rtl/>
        </w:rPr>
        <w:t>...</w:t>
      </w:r>
    </w:p>
    <w:p w:rsidR="00431038" w:rsidRDefault="00431038" w:rsidP="00431038">
      <w:pPr>
        <w:pStyle w:val="aa"/>
        <w:spacing w:line="360" w:lineRule="auto"/>
        <w:ind w:right="567"/>
        <w:jc w:val="both"/>
        <w:rPr>
          <w:rFonts w:ascii="FrankRuehl" w:hAnsi="FrankRuehl" w:cs="FrankRuehl"/>
          <w:sz w:val="24"/>
          <w:szCs w:val="24"/>
          <w:highlight w:val="yellow"/>
          <w:rtl/>
        </w:rPr>
      </w:pPr>
      <w:r>
        <w:rPr>
          <w:rFonts w:ascii="FrankRuehl" w:hAnsi="FrankRuehl" w:cs="FrankRuehl"/>
          <w:sz w:val="24"/>
          <w:szCs w:val="24"/>
          <w:rtl/>
        </w:rPr>
        <w:t>ת.</w:t>
      </w:r>
      <w:r>
        <w:rPr>
          <w:rFonts w:ascii="FrankRuehl" w:hAnsi="FrankRuehl" w:cs="FrankRuehl"/>
          <w:sz w:val="24"/>
          <w:szCs w:val="24"/>
          <w:rtl/>
        </w:rPr>
        <w:tab/>
        <w:t>השווי רכב הרעיון שלו זה מדמה מבחינת מס הכנסה את ההטבה שמקבל העובד בכסף."</w:t>
      </w:r>
    </w:p>
    <w:p w:rsidR="00431038" w:rsidRDefault="00431038" w:rsidP="00431038">
      <w:pPr>
        <w:rPr>
          <w:rFonts w:ascii="FrankRuehl" w:hAnsi="FrankRuehl" w:cs="FrankRuehl"/>
          <w:rtl/>
        </w:rPr>
      </w:pPr>
    </w:p>
    <w:p w:rsidR="00431038" w:rsidRDefault="00431038" w:rsidP="00431038">
      <w:pPr>
        <w:pStyle w:val="aa"/>
        <w:numPr>
          <w:ilvl w:val="0"/>
          <w:numId w:val="1"/>
        </w:numPr>
        <w:spacing w:line="360" w:lineRule="auto"/>
        <w:jc w:val="both"/>
        <w:rPr>
          <w:rFonts w:ascii="David" w:hAnsi="David" w:cs="David"/>
          <w:sz w:val="24"/>
          <w:szCs w:val="24"/>
          <w:u w:val="single"/>
          <w:rtl/>
        </w:rPr>
      </w:pPr>
      <w:r>
        <w:rPr>
          <w:rFonts w:ascii="David" w:hAnsi="David" w:cs="David"/>
          <w:sz w:val="24"/>
          <w:szCs w:val="24"/>
          <w:rtl/>
        </w:rPr>
        <w:t xml:space="preserve">מתשובת האקטואר עולה ששווי רכב בסך 6,000 ₪ שנזקף למשכורתה של עובדת העסק, לא שייך לה, אלא לנתבע עצמו. לכן, בניכוי מס עבור ההטבה, שוויה הינו 4,200 ₪, וסכום זה יש להוסיף למשכורת הנתבע כפי שנקבעה ע"י האקטואר בחוות דעתו. משלא נסתרה קביעתו של האקטואר, ועת הוברר שלזכות הנתבע הטבת שכר נוספת, אשר לא מצאה את מקומה בחוות הדעת, מצאתי לקבוע את </w:t>
      </w:r>
      <w:r>
        <w:rPr>
          <w:rFonts w:ascii="David" w:hAnsi="David" w:cs="David"/>
          <w:b/>
          <w:bCs/>
          <w:sz w:val="24"/>
          <w:szCs w:val="24"/>
          <w:u w:val="single"/>
          <w:rtl/>
        </w:rPr>
        <w:t>פוטנציאל השתכרותו של הנתבע בסך של 18,200 ₪.</w:t>
      </w:r>
      <w:r>
        <w:rPr>
          <w:rFonts w:ascii="David" w:hAnsi="David" w:cs="David"/>
          <w:sz w:val="24"/>
          <w:szCs w:val="24"/>
          <w:u w:val="single"/>
          <w:rtl/>
        </w:rPr>
        <w:t xml:space="preserve"> </w:t>
      </w:r>
    </w:p>
    <w:p w:rsidR="00431038" w:rsidRDefault="00431038" w:rsidP="00431038">
      <w:pPr>
        <w:jc w:val="both"/>
        <w:rPr>
          <w:rFonts w:ascii="David" w:hAnsi="David"/>
          <w:rtl/>
        </w:rPr>
      </w:pPr>
    </w:p>
    <w:p w:rsidR="00431038" w:rsidRDefault="00431038" w:rsidP="00C87C92">
      <w:pPr>
        <w:pStyle w:val="aa"/>
        <w:numPr>
          <w:ilvl w:val="0"/>
          <w:numId w:val="1"/>
        </w:numPr>
        <w:spacing w:line="360" w:lineRule="auto"/>
        <w:jc w:val="both"/>
        <w:rPr>
          <w:rFonts w:ascii="David" w:hAnsi="David" w:cs="David"/>
          <w:sz w:val="24"/>
          <w:szCs w:val="24"/>
        </w:rPr>
      </w:pPr>
      <w:r>
        <w:rPr>
          <w:rFonts w:ascii="David" w:hAnsi="David" w:cs="David"/>
          <w:sz w:val="24"/>
          <w:szCs w:val="24"/>
          <w:rtl/>
        </w:rPr>
        <w:t xml:space="preserve">לעניין פוטנציאל השתכרותה של התובעת; הנתבע גרס שנוכח העובדה שהינה מעצבת גרפית בהכשרתה, יש לקבוע את פוטנציאל השתכרותה בסך 7,000 ₪. כמפורט בחוות הדעת, המומחה זקף לתובעת פוטנציאל השתכרות לפי שכר מינימום בסך 5,114 ₪ (ראה דבריו בעמוד 21 שורות 1-2 וסעיף 4.14 לחו"ד). כאשר נשאל לעניין זה, השיב המומחה בחקירתו; </w:t>
      </w:r>
      <w:r>
        <w:rPr>
          <w:rFonts w:ascii="FrankRuehl" w:hAnsi="FrankRuehl" w:cs="FrankRuehl"/>
          <w:sz w:val="24"/>
          <w:szCs w:val="24"/>
          <w:rtl/>
        </w:rPr>
        <w:t xml:space="preserve"> </w:t>
      </w:r>
      <w:r>
        <w:rPr>
          <w:rFonts w:ascii="FrankRuehl" w:hAnsi="FrankRuehl" w:cs="FrankRuehl"/>
          <w:b/>
          <w:bCs/>
          <w:sz w:val="24"/>
          <w:szCs w:val="24"/>
          <w:rtl/>
        </w:rPr>
        <w:t>"אדוני לא יכול לערוב לאדם שלא עבד 10 שנים ויותר שעכשיו יעבוד וירוויח משכורת ממוצעת ואף יותר. המקסימום לעשות זה לייחס משכורת מינימום לאדם שלא עבד.</w:t>
      </w:r>
      <w:r>
        <w:rPr>
          <w:rFonts w:ascii="David" w:hAnsi="David" w:cs="David"/>
          <w:b/>
          <w:bCs/>
          <w:sz w:val="24"/>
          <w:szCs w:val="24"/>
          <w:rtl/>
        </w:rPr>
        <w:t xml:space="preserve">". </w:t>
      </w:r>
      <w:r>
        <w:rPr>
          <w:rFonts w:ascii="David" w:hAnsi="David" w:cs="David"/>
          <w:sz w:val="24"/>
          <w:szCs w:val="24"/>
          <w:rtl/>
        </w:rPr>
        <w:t xml:space="preserve">לשאלת בית המשפט הבהיר המומחה: </w:t>
      </w:r>
      <w:r>
        <w:rPr>
          <w:rFonts w:ascii="FrankRuehl" w:hAnsi="FrankRuehl" w:cs="FrankRuehl"/>
          <w:b/>
          <w:bCs/>
          <w:sz w:val="24"/>
          <w:szCs w:val="24"/>
          <w:rtl/>
        </w:rPr>
        <w:t>"לשאלת בית המשפט האם אני סבור שפוטנציאל ההשתכרות של התובעת גבוה יותר משכר מינימום במשק על סמך הנתונים שהוצגו בפני וזאת במועד הקרע, אני אומר שלא ולכן קיזזתי שכר מינימום</w:t>
      </w:r>
      <w:r>
        <w:rPr>
          <w:rFonts w:ascii="David" w:hAnsi="David" w:cs="David"/>
          <w:b/>
          <w:bCs/>
          <w:sz w:val="24"/>
          <w:szCs w:val="24"/>
          <w:rtl/>
        </w:rPr>
        <w:t>."</w:t>
      </w:r>
      <w:r>
        <w:rPr>
          <w:rFonts w:ascii="David" w:hAnsi="David" w:cs="David"/>
          <w:sz w:val="24"/>
          <w:szCs w:val="24"/>
          <w:rtl/>
        </w:rPr>
        <w:t xml:space="preserve"> (עמוד 21 שורות 14-16).</w:t>
      </w:r>
    </w:p>
    <w:p w:rsidR="00431038" w:rsidRDefault="00431038" w:rsidP="00431038">
      <w:pPr>
        <w:pStyle w:val="aa"/>
        <w:rPr>
          <w:rFonts w:ascii="David" w:hAnsi="David" w:cs="David"/>
          <w:sz w:val="24"/>
          <w:szCs w:val="24"/>
          <w:rtl/>
        </w:rPr>
      </w:pPr>
    </w:p>
    <w:p w:rsidR="00431038" w:rsidRDefault="00431038" w:rsidP="00431038">
      <w:pPr>
        <w:pStyle w:val="aa"/>
        <w:numPr>
          <w:ilvl w:val="0"/>
          <w:numId w:val="1"/>
        </w:numPr>
        <w:spacing w:line="360" w:lineRule="auto"/>
        <w:jc w:val="both"/>
        <w:rPr>
          <w:rFonts w:ascii="David" w:hAnsi="David" w:cs="David"/>
          <w:sz w:val="24"/>
          <w:szCs w:val="24"/>
          <w:rtl/>
        </w:rPr>
      </w:pPr>
      <w:r>
        <w:rPr>
          <w:rFonts w:ascii="David" w:hAnsi="David" w:cs="David"/>
          <w:sz w:val="24"/>
          <w:szCs w:val="24"/>
          <w:rtl/>
        </w:rPr>
        <w:t xml:space="preserve">מעדות הצדדים עולה שבמהלך תקופת החיים המשותפים, הנתבע עבד שעות רבות, נעדר מהבית בשעות הלילה לפחות פעמיים בשבוע, והתובעת, היא זו שטיפלה בקטינים והבית ולא עבדה </w:t>
      </w:r>
      <w:r>
        <w:rPr>
          <w:rFonts w:ascii="David" w:hAnsi="David" w:cs="David"/>
          <w:sz w:val="24"/>
          <w:szCs w:val="24"/>
          <w:rtl/>
        </w:rPr>
        <w:lastRenderedPageBreak/>
        <w:t>בעבודה מסודרת  למעלה מ- 10 שנים. עובדות אלה עולות אף מעדות הנתבע בעצמו, אשר הצהיר (ראה עמוד 28 שורות 18-36; עמוד 29 שורות 1-7):</w:t>
      </w:r>
    </w:p>
    <w:p w:rsidR="00431038" w:rsidRDefault="00431038" w:rsidP="00C87C92">
      <w:pPr>
        <w:spacing w:line="360" w:lineRule="auto"/>
        <w:ind w:left="720"/>
        <w:jc w:val="both"/>
        <w:rPr>
          <w:rFonts w:ascii="FrankRuehl" w:hAnsi="FrankRuehl" w:cs="FrankRuehl"/>
          <w:b/>
          <w:bCs/>
          <w:noProof w:val="0"/>
        </w:rPr>
      </w:pPr>
      <w:r>
        <w:rPr>
          <w:rFonts w:ascii="FrankRuehl" w:hAnsi="FrankRuehl" w:cs="FrankRuehl"/>
          <w:b/>
          <w:bCs/>
          <w:rtl/>
        </w:rPr>
        <w:t>ש.</w:t>
      </w:r>
      <w:r>
        <w:rPr>
          <w:rFonts w:ascii="FrankRuehl" w:hAnsi="FrankRuehl" w:cs="FrankRuehl"/>
          <w:b/>
          <w:bCs/>
          <w:rtl/>
        </w:rPr>
        <w:tab/>
        <w:t>אתה מאשר ש</w:t>
      </w:r>
      <w:r w:rsidR="00C87C92">
        <w:rPr>
          <w:rFonts w:ascii="FrankRuehl" w:hAnsi="FrankRuehl" w:cs="FrankRuehl" w:hint="cs"/>
          <w:b/>
          <w:bCs/>
          <w:rtl/>
        </w:rPr>
        <w:t xml:space="preserve">*** </w:t>
      </w:r>
      <w:r>
        <w:rPr>
          <w:rFonts w:ascii="FrankRuehl" w:hAnsi="FrankRuehl" w:cs="FrankRuehl"/>
          <w:b/>
          <w:bCs/>
          <w:rtl/>
        </w:rPr>
        <w:t xml:space="preserve">לא עבדה בעבודה מסודרת למעלה מ 10 שנים. </w:t>
      </w:r>
    </w:p>
    <w:p w:rsidR="00431038" w:rsidRDefault="00431038" w:rsidP="00431038">
      <w:pPr>
        <w:spacing w:line="360" w:lineRule="auto"/>
        <w:ind w:left="720"/>
        <w:jc w:val="both"/>
        <w:rPr>
          <w:rFonts w:ascii="FrankRuehl" w:hAnsi="FrankRuehl" w:cs="FrankRuehl"/>
          <w:rtl/>
        </w:rPr>
      </w:pPr>
      <w:r>
        <w:rPr>
          <w:rFonts w:ascii="FrankRuehl" w:hAnsi="FrankRuehl" w:cs="FrankRuehl"/>
          <w:rtl/>
        </w:rPr>
        <w:t>ת.</w:t>
      </w:r>
      <w:r>
        <w:rPr>
          <w:rFonts w:ascii="FrankRuehl" w:hAnsi="FrankRuehl" w:cs="FrankRuehl"/>
          <w:rtl/>
        </w:rPr>
        <w:tab/>
        <w:t xml:space="preserve">כן. </w:t>
      </w:r>
    </w:p>
    <w:p w:rsidR="00431038" w:rsidRDefault="00431038" w:rsidP="00C87C92">
      <w:pPr>
        <w:spacing w:line="360" w:lineRule="auto"/>
        <w:ind w:left="720"/>
        <w:jc w:val="both"/>
        <w:rPr>
          <w:rFonts w:ascii="FrankRuehl" w:hAnsi="FrankRuehl" w:cs="FrankRuehl"/>
          <w:b/>
          <w:bCs/>
          <w:rtl/>
        </w:rPr>
      </w:pPr>
      <w:r>
        <w:rPr>
          <w:rFonts w:ascii="FrankRuehl" w:hAnsi="FrankRuehl" w:cs="FrankRuehl"/>
          <w:b/>
          <w:bCs/>
          <w:rtl/>
        </w:rPr>
        <w:t>ש.</w:t>
      </w:r>
      <w:r>
        <w:rPr>
          <w:rFonts w:ascii="FrankRuehl" w:hAnsi="FrankRuehl" w:cs="FrankRuehl"/>
          <w:b/>
          <w:bCs/>
          <w:rtl/>
        </w:rPr>
        <w:tab/>
        <w:t xml:space="preserve">מפנה לסעיף 4 לתצהירך. היו הרבה פעמים שלא חזרת הביתה. </w:t>
      </w:r>
    </w:p>
    <w:p w:rsidR="00431038" w:rsidRDefault="00431038" w:rsidP="00431038">
      <w:pPr>
        <w:spacing w:line="360" w:lineRule="auto"/>
        <w:ind w:left="720"/>
        <w:jc w:val="both"/>
        <w:rPr>
          <w:rFonts w:ascii="FrankRuehl" w:hAnsi="FrankRuehl" w:cs="FrankRuehl"/>
        </w:rPr>
      </w:pPr>
      <w:r>
        <w:rPr>
          <w:rFonts w:ascii="FrankRuehl" w:hAnsi="FrankRuehl" w:cs="FrankRuehl"/>
          <w:rtl/>
        </w:rPr>
        <w:t>ת.</w:t>
      </w:r>
      <w:r>
        <w:rPr>
          <w:rFonts w:ascii="FrankRuehl" w:hAnsi="FrankRuehl" w:cs="FrankRuehl"/>
          <w:rtl/>
        </w:rPr>
        <w:tab/>
        <w:t xml:space="preserve">כן. </w:t>
      </w:r>
    </w:p>
    <w:p w:rsidR="00431038" w:rsidRDefault="00431038" w:rsidP="00431038">
      <w:pPr>
        <w:spacing w:line="360" w:lineRule="auto"/>
        <w:ind w:left="720"/>
        <w:jc w:val="both"/>
        <w:rPr>
          <w:rFonts w:ascii="FrankRuehl" w:hAnsi="FrankRuehl" w:cs="FrankRuehl"/>
          <w:b/>
          <w:bCs/>
          <w:rtl/>
        </w:rPr>
      </w:pPr>
      <w:r>
        <w:rPr>
          <w:rFonts w:ascii="FrankRuehl" w:hAnsi="FrankRuehl" w:cs="FrankRuehl"/>
          <w:b/>
          <w:bCs/>
          <w:rtl/>
        </w:rPr>
        <w:t>ש.</w:t>
      </w:r>
      <w:r>
        <w:rPr>
          <w:rFonts w:ascii="FrankRuehl" w:hAnsi="FrankRuehl" w:cs="FrankRuehl"/>
          <w:b/>
          <w:bCs/>
          <w:rtl/>
        </w:rPr>
        <w:tab/>
        <w:t xml:space="preserve">באיזו תדירות? </w:t>
      </w:r>
    </w:p>
    <w:p w:rsidR="00431038" w:rsidRDefault="00431038" w:rsidP="00C87C92">
      <w:pPr>
        <w:spacing w:line="360" w:lineRule="auto"/>
        <w:ind w:left="1440" w:hanging="720"/>
        <w:jc w:val="both"/>
        <w:rPr>
          <w:rFonts w:ascii="FrankRuehl" w:hAnsi="FrankRuehl" w:cs="FrankRuehl"/>
          <w:rtl/>
        </w:rPr>
      </w:pPr>
      <w:r>
        <w:rPr>
          <w:rFonts w:ascii="FrankRuehl" w:hAnsi="FrankRuehl" w:cs="FrankRuehl"/>
          <w:rtl/>
        </w:rPr>
        <w:t>ת.</w:t>
      </w:r>
      <w:r>
        <w:rPr>
          <w:rFonts w:ascii="FrankRuehl" w:hAnsi="FrankRuehl" w:cs="FrankRuehl"/>
          <w:rtl/>
        </w:rPr>
        <w:tab/>
        <w:t>כן, הייתי ישן מחוץ לבית פעמיים בשבוע שהיתה עבודה ב</w:t>
      </w:r>
      <w:r w:rsidR="00C87C92">
        <w:rPr>
          <w:rFonts w:ascii="FrankRuehl" w:hAnsi="FrankRuehl" w:cs="FrankRuehl" w:hint="cs"/>
          <w:rtl/>
        </w:rPr>
        <w:t xml:space="preserve">*** </w:t>
      </w:r>
      <w:r>
        <w:rPr>
          <w:rFonts w:ascii="FrankRuehl" w:hAnsi="FrankRuehl" w:cs="FrankRuehl"/>
          <w:rtl/>
        </w:rPr>
        <w:t xml:space="preserve">קרית גת, זה היה כולל מגורים. שכרנו דירה. כשהייתי עובד מחוץ לבית הייתי עובד מ 06:00 עד כ 22:00. </w:t>
      </w:r>
    </w:p>
    <w:p w:rsidR="00431038" w:rsidRDefault="00431038" w:rsidP="00431038">
      <w:pPr>
        <w:spacing w:line="360" w:lineRule="auto"/>
        <w:ind w:left="720"/>
        <w:jc w:val="both"/>
        <w:rPr>
          <w:rFonts w:ascii="FrankRuehl" w:hAnsi="FrankRuehl" w:cs="FrankRuehl"/>
          <w:b/>
          <w:bCs/>
        </w:rPr>
      </w:pPr>
      <w:r>
        <w:rPr>
          <w:rFonts w:ascii="FrankRuehl" w:hAnsi="FrankRuehl" w:cs="FrankRuehl"/>
          <w:b/>
          <w:bCs/>
          <w:rtl/>
        </w:rPr>
        <w:t>ש.</w:t>
      </w:r>
      <w:r>
        <w:rPr>
          <w:rFonts w:ascii="FrankRuehl" w:hAnsi="FrankRuehl" w:cs="FrankRuehl"/>
          <w:b/>
          <w:bCs/>
          <w:rtl/>
        </w:rPr>
        <w:tab/>
        <w:t xml:space="preserve">השינה מחוץ לבית פעמיים בשבוע במשך כמה שנים? </w:t>
      </w:r>
    </w:p>
    <w:p w:rsidR="00431038" w:rsidRDefault="00431038" w:rsidP="00431038">
      <w:pPr>
        <w:spacing w:line="360" w:lineRule="auto"/>
        <w:ind w:left="720"/>
        <w:jc w:val="both"/>
        <w:rPr>
          <w:rFonts w:ascii="FrankRuehl" w:hAnsi="FrankRuehl" w:cs="FrankRuehl"/>
        </w:rPr>
      </w:pPr>
      <w:r>
        <w:rPr>
          <w:rFonts w:ascii="FrankRuehl" w:hAnsi="FrankRuehl" w:cs="FrankRuehl"/>
          <w:rtl/>
        </w:rPr>
        <w:t>ת.</w:t>
      </w:r>
      <w:r>
        <w:rPr>
          <w:rFonts w:ascii="FrankRuehl" w:hAnsi="FrankRuehl" w:cs="FrankRuehl"/>
          <w:rtl/>
        </w:rPr>
        <w:tab/>
        <w:t xml:space="preserve">נגיד שבשנים הראשונות לא היו, אח"כ העבודה היתה בצפון אז כמעט לא. </w:t>
      </w:r>
    </w:p>
    <w:p w:rsidR="00431038" w:rsidRDefault="00431038" w:rsidP="00431038">
      <w:pPr>
        <w:spacing w:line="360" w:lineRule="auto"/>
        <w:ind w:left="720"/>
        <w:jc w:val="both"/>
        <w:rPr>
          <w:rFonts w:ascii="FrankRuehl" w:hAnsi="FrankRuehl" w:cs="FrankRuehl"/>
          <w:b/>
          <w:bCs/>
          <w:rtl/>
        </w:rPr>
      </w:pPr>
      <w:r>
        <w:rPr>
          <w:rFonts w:ascii="FrankRuehl" w:hAnsi="FrankRuehl" w:cs="FrankRuehl"/>
          <w:b/>
          <w:bCs/>
          <w:rtl/>
        </w:rPr>
        <w:t>ש.</w:t>
      </w:r>
      <w:r>
        <w:rPr>
          <w:rFonts w:ascii="FrankRuehl" w:hAnsi="FrankRuehl" w:cs="FrankRuehl"/>
          <w:b/>
          <w:bCs/>
          <w:rtl/>
        </w:rPr>
        <w:tab/>
        <w:t xml:space="preserve">במשך 18 שנים שהייתם יחד, כמה פעמים ישנת מחוץ לבית פעמיים בשבוע? </w:t>
      </w:r>
    </w:p>
    <w:p w:rsidR="00431038" w:rsidRDefault="00431038" w:rsidP="00431038">
      <w:pPr>
        <w:spacing w:line="360" w:lineRule="auto"/>
        <w:ind w:left="1440" w:hanging="720"/>
        <w:jc w:val="both"/>
        <w:rPr>
          <w:rFonts w:ascii="FrankRuehl" w:hAnsi="FrankRuehl" w:cs="FrankRuehl"/>
        </w:rPr>
      </w:pPr>
      <w:r>
        <w:rPr>
          <w:rFonts w:ascii="FrankRuehl" w:hAnsi="FrankRuehl" w:cs="FrankRuehl"/>
          <w:rtl/>
        </w:rPr>
        <w:t>ת.</w:t>
      </w:r>
      <w:r>
        <w:rPr>
          <w:rFonts w:ascii="FrankRuehl" w:hAnsi="FrankRuehl" w:cs="FrankRuehl"/>
          <w:rtl/>
        </w:rPr>
        <w:tab/>
        <w:t xml:space="preserve">צמצם את זה ברווחים, במשך שלוש שנים הייתי  ישן מחוץ לבית פעם או פעמיים בשבוע. </w:t>
      </w:r>
    </w:p>
    <w:p w:rsidR="00431038" w:rsidRDefault="00431038" w:rsidP="00C87C92">
      <w:pPr>
        <w:spacing w:line="360" w:lineRule="auto"/>
        <w:ind w:left="720"/>
        <w:jc w:val="both"/>
        <w:rPr>
          <w:rFonts w:ascii="FrankRuehl" w:hAnsi="FrankRuehl" w:cs="FrankRuehl"/>
          <w:b/>
          <w:bCs/>
          <w:rtl/>
        </w:rPr>
      </w:pPr>
      <w:r>
        <w:rPr>
          <w:rFonts w:ascii="FrankRuehl" w:hAnsi="FrankRuehl" w:cs="FrankRuehl"/>
          <w:b/>
          <w:bCs/>
          <w:rtl/>
        </w:rPr>
        <w:t>ש.</w:t>
      </w:r>
      <w:r>
        <w:rPr>
          <w:rFonts w:ascii="FrankRuehl" w:hAnsi="FrankRuehl" w:cs="FrankRuehl"/>
          <w:b/>
          <w:bCs/>
          <w:rtl/>
        </w:rPr>
        <w:tab/>
        <w:t xml:space="preserve">אז אם ככה מישהו צריך לטפל בילדים האלה. </w:t>
      </w:r>
    </w:p>
    <w:p w:rsidR="00431038" w:rsidRDefault="00431038" w:rsidP="00431038">
      <w:pPr>
        <w:spacing w:line="360" w:lineRule="auto"/>
        <w:ind w:left="1440" w:hanging="720"/>
        <w:jc w:val="both"/>
        <w:rPr>
          <w:rFonts w:ascii="FrankRuehl" w:hAnsi="FrankRuehl" w:cs="FrankRuehl"/>
          <w:rtl/>
        </w:rPr>
      </w:pPr>
      <w:r>
        <w:rPr>
          <w:rFonts w:ascii="FrankRuehl" w:hAnsi="FrankRuehl" w:cs="FrankRuehl"/>
          <w:rtl/>
        </w:rPr>
        <w:t>ת.</w:t>
      </w:r>
      <w:r>
        <w:rPr>
          <w:rFonts w:ascii="FrankRuehl" w:hAnsi="FrankRuehl" w:cs="FrankRuehl"/>
          <w:rtl/>
        </w:rPr>
        <w:tab/>
        <w:t xml:space="preserve">ברור, אף פעם לא הכחשתי שהיא מטפלת בילדים. תמיד אמרתי שהיא אמא טובה גם היום, היום היא עובדת מחוץ לבית ובתור מלקטת. אני רציתי והיא לא הסכימה כי רצתה לעבוד במקצוע שלה. </w:t>
      </w:r>
    </w:p>
    <w:p w:rsidR="00431038" w:rsidRDefault="00431038" w:rsidP="00431038">
      <w:pPr>
        <w:spacing w:line="360" w:lineRule="auto"/>
        <w:ind w:left="1440"/>
        <w:jc w:val="both"/>
        <w:rPr>
          <w:rFonts w:ascii="FrankRuehl" w:hAnsi="FrankRuehl" w:cs="FrankRuehl"/>
          <w:rtl/>
        </w:rPr>
      </w:pPr>
      <w:r>
        <w:rPr>
          <w:rFonts w:ascii="FrankRuehl" w:hAnsi="FrankRuehl" w:cs="FrankRuehl"/>
          <w:rtl/>
        </w:rPr>
        <w:t xml:space="preserve">לשאלת בית המשפט מתי ביקשתי ממנה לעבוד, אני משיב שמרגע שהבן השני הגיע לגיל 3. ההבדל בין הילד השני לשלישי 5 שנים. בזמן הזה ביקשתי ממנה לעבוד והיא לא הסכימה. כשהילד השלישי נולד הוא היה שנה אחת במעון והיא לא עבדה, הכנסנו אותו למעון והיא לא מצאה עבודה. לשאלת בית המשפט איפה בתצהיר שלי ציינתי שביקשתי  ממנה לעבוד וזה שלא עבדה זה כתוצאה מההחלטה שלה, אני משיב שלא אמרתי שזה מהחלטה שלה אלא מהחלטה משותפת בגלל הילדים. </w:t>
      </w:r>
    </w:p>
    <w:p w:rsidR="00431038" w:rsidRDefault="00431038" w:rsidP="00431038">
      <w:pPr>
        <w:spacing w:line="360" w:lineRule="auto"/>
        <w:ind w:left="1440"/>
        <w:jc w:val="both"/>
        <w:rPr>
          <w:rFonts w:ascii="FrankRuehl" w:hAnsi="FrankRuehl" w:cs="FrankRuehl"/>
          <w:rtl/>
        </w:rPr>
      </w:pPr>
      <w:r>
        <w:rPr>
          <w:rFonts w:ascii="FrankRuehl" w:hAnsi="FrankRuehl" w:cs="FrankRuehl"/>
          <w:rtl/>
        </w:rPr>
        <w:t xml:space="preserve">בקשר לילדים, בזמנים של הילדים היא לא עבדה כשהיה צריך לטפל בילדים. כשהילדים גדלו היא לא עבדה כי לא מצאה מה שרצתה במקצוע שלה. </w:t>
      </w:r>
    </w:p>
    <w:p w:rsidR="00431038" w:rsidRDefault="00431038" w:rsidP="00431038">
      <w:pPr>
        <w:spacing w:line="360" w:lineRule="auto"/>
        <w:ind w:left="1440"/>
        <w:jc w:val="both"/>
        <w:rPr>
          <w:rFonts w:ascii="FrankRuehl" w:hAnsi="FrankRuehl" w:cs="FrankRuehl"/>
          <w:rtl/>
        </w:rPr>
      </w:pPr>
      <w:r>
        <w:rPr>
          <w:rFonts w:ascii="FrankRuehl" w:hAnsi="FrankRuehl" w:cs="FrankRuehl"/>
          <w:rtl/>
        </w:rPr>
        <w:t xml:space="preserve">לשאלת בית המשפט איפה כתוב בתצהיר שלי עם פירוט שהיו תקופות שביקשתי ממנה שתצא לעבוד והיא לא יצאה לעבוד, אני משיב שבמסגרת התצהיר לא אמרתי את זה. </w:t>
      </w:r>
    </w:p>
    <w:p w:rsidR="00431038" w:rsidRDefault="00431038" w:rsidP="00431038">
      <w:pPr>
        <w:pStyle w:val="aa"/>
        <w:rPr>
          <w:rFonts w:ascii="David" w:hAnsi="David" w:cs="David"/>
          <w:sz w:val="24"/>
          <w:szCs w:val="24"/>
          <w:rtl/>
        </w:rPr>
      </w:pPr>
    </w:p>
    <w:p w:rsidR="00431038" w:rsidRDefault="00431038" w:rsidP="00431038">
      <w:pPr>
        <w:pStyle w:val="aa"/>
        <w:numPr>
          <w:ilvl w:val="0"/>
          <w:numId w:val="1"/>
        </w:numPr>
        <w:spacing w:line="360" w:lineRule="auto"/>
        <w:jc w:val="both"/>
        <w:rPr>
          <w:rFonts w:ascii="David" w:hAnsi="David" w:cs="David"/>
          <w:b/>
          <w:bCs/>
          <w:sz w:val="24"/>
          <w:szCs w:val="24"/>
          <w:u w:val="single"/>
          <w:rtl/>
        </w:rPr>
      </w:pPr>
      <w:r>
        <w:rPr>
          <w:rFonts w:ascii="David" w:hAnsi="David" w:cs="David"/>
          <w:sz w:val="24"/>
          <w:szCs w:val="24"/>
          <w:rtl/>
        </w:rPr>
        <w:t xml:space="preserve">עוד עולה מעדות התובעת, בגרסה שלא נסתרה ואותה מצאתי לאמץ בהיותה סדורה, קוהרנטית ותואמת את גרסת הנתבע, שמעולם לא עבדה כמעצבת גרפית, בשל הטיפול בקטינים. כיום, כאשר מבקשת לעבוד בתחום, אינה מצליחה להשתלב מפאת גילה והיעדר ניסיון והכשרה מתאימה משך השנים (ראה לעניין זה עדותה בעמוד 23 שורות 18-36). לפיכך, שעה שמשך תקופת החיים המשותפים התובעת לא עבדה שנים ארוכות, לבטח שלא במקצוע, אין מקום לייחס לה כיום פוטנציאל השתכרות כבעלת מקצוע. עובדה זו מקבלת משנה תוקף לאור גילה, חלוף הזמן מאז הכשרתה במקצוע למעלה מ- 18 שנים, ובהיעדר ביצוע השתלמויות או הכשרות </w:t>
      </w:r>
      <w:r>
        <w:rPr>
          <w:rFonts w:ascii="David" w:hAnsi="David" w:cs="David"/>
          <w:sz w:val="24"/>
          <w:szCs w:val="24"/>
          <w:rtl/>
        </w:rPr>
        <w:lastRenderedPageBreak/>
        <w:t xml:space="preserve">בתחום. משכך, מצאתי לאמץ את מסקנות המומחה, </w:t>
      </w:r>
      <w:r>
        <w:rPr>
          <w:rFonts w:ascii="David" w:hAnsi="David" w:cs="David"/>
          <w:b/>
          <w:bCs/>
          <w:sz w:val="24"/>
          <w:szCs w:val="24"/>
          <w:u w:val="single"/>
          <w:rtl/>
        </w:rPr>
        <w:t>ולקבוע את פוטנציאל השתכרותה בהתאם לשכר המינימום במשק.</w:t>
      </w:r>
    </w:p>
    <w:p w:rsidR="00431038" w:rsidRDefault="00431038" w:rsidP="00431038">
      <w:pPr>
        <w:pStyle w:val="aa"/>
        <w:spacing w:line="240" w:lineRule="auto"/>
        <w:jc w:val="both"/>
        <w:rPr>
          <w:rFonts w:ascii="David" w:hAnsi="David" w:cs="David"/>
          <w:sz w:val="24"/>
          <w:szCs w:val="24"/>
        </w:rPr>
      </w:pPr>
    </w:p>
    <w:p w:rsidR="00431038" w:rsidRDefault="00431038" w:rsidP="00431038">
      <w:pPr>
        <w:pStyle w:val="aa"/>
        <w:numPr>
          <w:ilvl w:val="0"/>
          <w:numId w:val="1"/>
        </w:numPr>
        <w:spacing w:line="360" w:lineRule="auto"/>
        <w:jc w:val="both"/>
        <w:rPr>
          <w:rFonts w:ascii="David" w:hAnsi="David" w:cs="David"/>
          <w:sz w:val="24"/>
          <w:szCs w:val="24"/>
          <w:rtl/>
        </w:rPr>
      </w:pPr>
      <w:r>
        <w:rPr>
          <w:rFonts w:ascii="David" w:hAnsi="David" w:cs="David"/>
          <w:sz w:val="24"/>
          <w:szCs w:val="24"/>
          <w:rtl/>
        </w:rPr>
        <w:t xml:space="preserve">מכל האמור לעיל, ומאחר והצדדים אינם חלוקים לעניין תקופת הפיצוי כפי שנקבעה ע"י המומחה, ולאחר שמצאתי אותה נכונה וצודקת, ותואמת את הפסיקה, מצאתי לאמץ את מסקנות האקטואר וליתן להן תוקף של פס"ד, בכפוף לתיקון חוות הדעת, כאמור בסעיפים 37 ו-39 לעיל.  </w:t>
      </w:r>
    </w:p>
    <w:p w:rsidR="00431038" w:rsidRDefault="00431038" w:rsidP="00431038">
      <w:pPr>
        <w:spacing w:line="360" w:lineRule="auto"/>
        <w:jc w:val="both"/>
        <w:rPr>
          <w:rFonts w:ascii="David" w:hAnsi="David"/>
        </w:rPr>
      </w:pPr>
      <w:r>
        <w:rPr>
          <w:rFonts w:ascii="David" w:hAnsi="David"/>
          <w:b/>
          <w:bCs/>
          <w:u w:val="single"/>
          <w:rtl/>
        </w:rPr>
        <w:t>עתירת התובעת לחלוקה בלתי שוויונית בהתאם  לסעיף 8 (2) לחוק יחסי ממון:</w:t>
      </w:r>
    </w:p>
    <w:p w:rsidR="00431038" w:rsidRDefault="00431038" w:rsidP="00431038">
      <w:pPr>
        <w:jc w:val="both"/>
        <w:rPr>
          <w:rFonts w:ascii="David" w:hAnsi="David"/>
          <w:rtl/>
        </w:rPr>
      </w:pPr>
    </w:p>
    <w:p w:rsidR="00431038" w:rsidRDefault="00431038" w:rsidP="00431038">
      <w:pPr>
        <w:pStyle w:val="aa"/>
        <w:numPr>
          <w:ilvl w:val="0"/>
          <w:numId w:val="1"/>
        </w:numPr>
        <w:spacing w:line="360" w:lineRule="auto"/>
        <w:jc w:val="both"/>
        <w:rPr>
          <w:rFonts w:ascii="David" w:hAnsi="David" w:cs="David"/>
          <w:sz w:val="24"/>
          <w:szCs w:val="24"/>
        </w:rPr>
      </w:pPr>
      <w:r>
        <w:rPr>
          <w:rFonts w:ascii="David" w:hAnsi="David" w:cs="David"/>
          <w:sz w:val="24"/>
          <w:szCs w:val="24"/>
          <w:rtl/>
        </w:rPr>
        <w:t xml:space="preserve">כידוע, תכלית חזקת שיתוף הנכסים בין בני זוג הינה הגשמת התפיסה הערכית הנשענת על עקרונות השוויון והצדק מחד, ומתן אוטונומיה לרצון בני הזוג, מאידך (ע"א 45/90 עבאדה נ. עבאדה, [נבו] (1994)) באופן בו  </w:t>
      </w:r>
      <w:r>
        <w:rPr>
          <w:rFonts w:ascii="David" w:hAnsi="David" w:cs="David"/>
          <w:b/>
          <w:bCs/>
          <w:sz w:val="24"/>
          <w:szCs w:val="24"/>
          <w:rtl/>
        </w:rPr>
        <w:t>"אין להגדיר באופן נוקדני את תרומתו של כל אחד מבני הזוג לתא המשפחתי, בהתאם לתג-המחיר שמצמיד לה השוק."</w:t>
      </w:r>
      <w:r>
        <w:rPr>
          <w:rFonts w:ascii="David" w:hAnsi="David" w:cs="David"/>
          <w:sz w:val="24"/>
          <w:szCs w:val="24"/>
          <w:rtl/>
        </w:rPr>
        <w:t xml:space="preserve"> (דברי המשנה לנשיאה א' ריבלין בבע"מ 4623/04 </w:t>
      </w:r>
      <w:r>
        <w:rPr>
          <w:rFonts w:ascii="David" w:hAnsi="David" w:cs="David"/>
          <w:b/>
          <w:bCs/>
          <w:sz w:val="24"/>
          <w:szCs w:val="24"/>
          <w:rtl/>
        </w:rPr>
        <w:t>פלוני נ' פלונית</w:t>
      </w:r>
      <w:r>
        <w:rPr>
          <w:rFonts w:ascii="David" w:hAnsi="David" w:cs="David"/>
          <w:sz w:val="24"/>
          <w:szCs w:val="24"/>
          <w:rtl/>
        </w:rPr>
        <w:t>, סב(3) 66 (2007)).</w:t>
      </w:r>
    </w:p>
    <w:p w:rsidR="00431038" w:rsidRDefault="00431038" w:rsidP="00431038">
      <w:pPr>
        <w:pStyle w:val="aa"/>
        <w:spacing w:line="240" w:lineRule="auto"/>
        <w:ind w:left="360"/>
        <w:jc w:val="both"/>
        <w:rPr>
          <w:rFonts w:ascii="David" w:hAnsi="David" w:cs="David"/>
          <w:sz w:val="24"/>
          <w:szCs w:val="24"/>
          <w:rtl/>
        </w:rPr>
      </w:pPr>
    </w:p>
    <w:p w:rsidR="00431038" w:rsidRDefault="00431038" w:rsidP="00431038">
      <w:pPr>
        <w:pStyle w:val="aa"/>
        <w:numPr>
          <w:ilvl w:val="0"/>
          <w:numId w:val="1"/>
        </w:numPr>
        <w:spacing w:line="360" w:lineRule="auto"/>
        <w:jc w:val="both"/>
        <w:rPr>
          <w:rFonts w:ascii="David" w:hAnsi="David" w:cs="David"/>
          <w:b/>
          <w:bCs/>
          <w:sz w:val="24"/>
          <w:szCs w:val="24"/>
          <w:rtl/>
        </w:rPr>
      </w:pPr>
      <w:r>
        <w:rPr>
          <w:rFonts w:ascii="David" w:hAnsi="David" w:cs="David"/>
          <w:sz w:val="24"/>
          <w:szCs w:val="24"/>
          <w:rtl/>
        </w:rPr>
        <w:t>סעיף 8(2) לחוק הינו החריג לכלל, ובהתאם להוראותיו, ב"</w:t>
      </w:r>
      <w:r>
        <w:rPr>
          <w:rFonts w:ascii="David" w:hAnsi="David" w:cs="David"/>
          <w:b/>
          <w:bCs/>
          <w:sz w:val="24"/>
          <w:szCs w:val="24"/>
          <w:rtl/>
        </w:rPr>
        <w:t>נסיבות מיוחדות המצדיקות זאת</w:t>
      </w:r>
      <w:r>
        <w:rPr>
          <w:rFonts w:ascii="David" w:hAnsi="David" w:cs="David"/>
          <w:sz w:val="24"/>
          <w:szCs w:val="24"/>
          <w:rtl/>
        </w:rPr>
        <w:t>" מוקנית לבית המשפט סמכות להפעיל שיקול דעת, ולקבוע חריגים לכלל של החלוקה השוויונית בנכסים, וכלשון הסעיף:</w:t>
      </w:r>
      <w:r>
        <w:rPr>
          <w:rFonts w:ascii="David" w:hAnsi="David" w:cs="David"/>
          <w:b/>
          <w:bCs/>
          <w:sz w:val="24"/>
          <w:szCs w:val="24"/>
          <w:rtl/>
        </w:rPr>
        <w:t xml:space="preserve"> "לקבוע שאיזון שווי הנכסים, כולם או מקצתם, לא יהיה מחצה על מחצה, אלא לפי יחס אחר שיקבע בהתחשב, בין השאר, בנכסים עתידיים, לרבות בכושר ההשתכרות של כל אחד מבני הזוג;"</w:t>
      </w:r>
    </w:p>
    <w:p w:rsidR="00431038" w:rsidRDefault="00431038" w:rsidP="00431038">
      <w:pPr>
        <w:pStyle w:val="aa"/>
        <w:spacing w:line="240" w:lineRule="auto"/>
        <w:rPr>
          <w:rFonts w:ascii="David" w:hAnsi="David" w:cs="David"/>
          <w:b/>
          <w:bCs/>
          <w:sz w:val="24"/>
          <w:szCs w:val="24"/>
        </w:rPr>
      </w:pPr>
    </w:p>
    <w:p w:rsidR="00431038" w:rsidRDefault="00431038" w:rsidP="00431038">
      <w:pPr>
        <w:pStyle w:val="aa"/>
        <w:numPr>
          <w:ilvl w:val="0"/>
          <w:numId w:val="1"/>
        </w:numPr>
        <w:spacing w:line="360" w:lineRule="auto"/>
        <w:jc w:val="both"/>
        <w:rPr>
          <w:rFonts w:ascii="David" w:hAnsi="David" w:cs="David"/>
          <w:sz w:val="24"/>
          <w:szCs w:val="24"/>
        </w:rPr>
      </w:pPr>
      <w:r>
        <w:rPr>
          <w:rFonts w:ascii="David" w:hAnsi="David" w:cs="David"/>
          <w:sz w:val="24"/>
          <w:szCs w:val="24"/>
          <w:rtl/>
        </w:rPr>
        <w:t>בפסיקה עקבית וארוכת שנים של בית המשפט העליון, פותחו אבני בוחן לבחינת הנסיבות בהן בית המשפט יעשה שימוש בסמכותו לפעול בניגוד לברירת המחדל, באופן המאפשר להפחית מחלקו של בן זוג באיזון אל מתחת למחצית. ראו לעניין זה דבריו של כב' המשנה לנשיאה, השופט נ. הנדל בבע"מ 7272/10 פלונית נ' פלוני (07.01.2014) שם בפסקה 2:</w:t>
      </w:r>
    </w:p>
    <w:p w:rsidR="00431038" w:rsidRDefault="00431038" w:rsidP="00431038">
      <w:pPr>
        <w:pStyle w:val="ruller41"/>
        <w:ind w:left="720" w:right="426"/>
        <w:rPr>
          <w:rFonts w:ascii="David" w:hAnsi="David" w:cs="David"/>
          <w:b/>
          <w:bCs/>
          <w:sz w:val="24"/>
          <w:szCs w:val="24"/>
        </w:rPr>
      </w:pPr>
      <w:r>
        <w:rPr>
          <w:rFonts w:ascii="David" w:hAnsi="David" w:cs="David"/>
          <w:b/>
          <w:bCs/>
          <w:sz w:val="24"/>
          <w:szCs w:val="24"/>
          <w:rtl/>
        </w:rPr>
        <w:t>"שיקול הדעת המוקנה לבית המשפט בסעיף נועד לשימוש במקרים מיוחדים בהם ההסדר הכללי בחוק עשוי להוביל לתוצאות שאינן רצויות ולאי צדק ברור (</w:t>
      </w:r>
      <w:r>
        <w:rPr>
          <w:rFonts w:ascii="David" w:hAnsi="David" w:cs="David"/>
          <w:b/>
          <w:bCs/>
          <w:spacing w:val="0"/>
          <w:sz w:val="24"/>
          <w:szCs w:val="24"/>
          <w:rtl/>
          <w:lang w:eastAsia="en-US"/>
        </w:rPr>
        <w:t>רוזן-צבי</w:t>
      </w:r>
      <w:r>
        <w:rPr>
          <w:rFonts w:ascii="David" w:hAnsi="David" w:cs="David"/>
          <w:b/>
          <w:bCs/>
          <w:sz w:val="24"/>
          <w:szCs w:val="24"/>
          <w:rtl/>
        </w:rPr>
        <w:t>, 352). כבר נאמר על-ידי בית משפט זה כי סעיף 8 מאפשר לערכאות</w:t>
      </w:r>
      <w:r>
        <w:rPr>
          <w:rFonts w:ascii="David" w:hAnsi="David" w:cs="David"/>
          <w:b/>
          <w:bCs/>
          <w:sz w:val="24"/>
          <w:szCs w:val="24"/>
          <w:u w:val="single"/>
          <w:rtl/>
        </w:rPr>
        <w:t xml:space="preserve"> </w:t>
      </w:r>
      <w:r>
        <w:rPr>
          <w:rFonts w:ascii="David" w:hAnsi="David" w:cs="David"/>
          <w:b/>
          <w:bCs/>
          <w:sz w:val="24"/>
          <w:szCs w:val="24"/>
          <w:rtl/>
        </w:rPr>
        <w:t>השיפוטיות גמישות רבה לערוך איזון נכסים הוגן על פי שיקולים כלכליים ואחרים (</w:t>
      </w:r>
      <w:r>
        <w:rPr>
          <w:rFonts w:ascii="David" w:hAnsi="David" w:cs="David"/>
          <w:b/>
          <w:bCs/>
          <w:spacing w:val="0"/>
          <w:sz w:val="24"/>
          <w:szCs w:val="24"/>
          <w:rtl/>
          <w:lang w:eastAsia="en-US"/>
        </w:rPr>
        <w:t xml:space="preserve">עניין יעקובי, </w:t>
      </w:r>
      <w:r>
        <w:rPr>
          <w:rFonts w:ascii="David" w:hAnsi="David" w:cs="David"/>
          <w:b/>
          <w:bCs/>
          <w:sz w:val="24"/>
          <w:szCs w:val="24"/>
          <w:rtl/>
        </w:rPr>
        <w:t>614). ויודגש – איזון הוגן, אף שאינו שווה. הסעיף משמש פתח להעניק יותר מאשר שווי מחצית הרכוש לצד הנזקק תוך התחשבות בשיקולים כלכליים ואחרים (</w:t>
      </w:r>
      <w:r>
        <w:rPr>
          <w:rFonts w:ascii="David" w:hAnsi="David" w:cs="David"/>
          <w:b/>
          <w:bCs/>
          <w:sz w:val="24"/>
          <w:szCs w:val="24"/>
          <w:rtl/>
          <w:lang w:eastAsia="en-US"/>
        </w:rPr>
        <w:t>שם, שם</w:t>
      </w:r>
      <w:r>
        <w:rPr>
          <w:rFonts w:ascii="David" w:hAnsi="David" w:cs="David"/>
          <w:b/>
          <w:bCs/>
          <w:sz w:val="24"/>
          <w:szCs w:val="24"/>
          <w:rtl/>
        </w:rPr>
        <w:t xml:space="preserve">). </w:t>
      </w:r>
      <w:r>
        <w:rPr>
          <w:rFonts w:ascii="David" w:hAnsi="David" w:cs="David"/>
          <w:b/>
          <w:bCs/>
          <w:sz w:val="24"/>
          <w:szCs w:val="24"/>
          <w:u w:val="single"/>
          <w:rtl/>
        </w:rPr>
        <w:t>ברירת החלוקה הלא חציונית של הנכסים מכוח סעיף 8(2) לחוק נועדה למנוע תוצאה בלתי שוויונית ושאינה צודקת ולאפשר שוויון הזדמנויות מהותי לבן הזוג "החלש"</w:t>
      </w:r>
      <w:r>
        <w:rPr>
          <w:rFonts w:ascii="David" w:hAnsi="David" w:cs="David"/>
          <w:b/>
          <w:bCs/>
          <w:sz w:val="24"/>
          <w:szCs w:val="24"/>
          <w:rtl/>
        </w:rPr>
        <w:t xml:space="preserve"> (</w:t>
      </w:r>
      <w:hyperlink r:id="rId7" w:history="1">
        <w:r>
          <w:rPr>
            <w:rStyle w:val="Hyperlink"/>
            <w:rFonts w:ascii="David" w:hAnsi="David" w:cs="David"/>
            <w:b/>
            <w:bCs/>
            <w:sz w:val="24"/>
            <w:szCs w:val="24"/>
            <w:rtl/>
          </w:rPr>
          <w:t>בג"ץ 2533/11</w:t>
        </w:r>
      </w:hyperlink>
      <w:r>
        <w:rPr>
          <w:rFonts w:ascii="David" w:hAnsi="David" w:cs="David"/>
          <w:b/>
          <w:bCs/>
          <w:sz w:val="24"/>
          <w:szCs w:val="24"/>
          <w:rtl/>
        </w:rPr>
        <w:t xml:space="preserve"> </w:t>
      </w:r>
      <w:r>
        <w:rPr>
          <w:rFonts w:ascii="David" w:hAnsi="David" w:cs="David"/>
          <w:b/>
          <w:bCs/>
          <w:spacing w:val="0"/>
          <w:sz w:val="24"/>
          <w:szCs w:val="24"/>
          <w:rtl/>
          <w:lang w:eastAsia="en-US"/>
        </w:rPr>
        <w:t>פלונית נ' בית הדין הרבני הגדול</w:t>
      </w:r>
      <w:r>
        <w:rPr>
          <w:rFonts w:ascii="David" w:hAnsi="David" w:cs="David"/>
          <w:b/>
          <w:bCs/>
          <w:sz w:val="24"/>
          <w:szCs w:val="24"/>
          <w:rtl/>
        </w:rPr>
        <w:t xml:space="preserve">, </w:t>
      </w:r>
      <w:r>
        <w:rPr>
          <w:rFonts w:ascii="David" w:hAnsi="David" w:cs="David"/>
          <w:b/>
          <w:bCs/>
          <w:spacing w:val="0"/>
          <w:sz w:val="24"/>
          <w:szCs w:val="24"/>
          <w:rtl/>
        </w:rPr>
        <w:t xml:space="preserve">[פורסם בנבו] </w:t>
      </w:r>
      <w:r>
        <w:rPr>
          <w:rFonts w:ascii="David" w:hAnsi="David" w:cs="David"/>
          <w:b/>
          <w:bCs/>
          <w:sz w:val="24"/>
          <w:szCs w:val="24"/>
          <w:rtl/>
        </w:rPr>
        <w:t xml:space="preserve">חוות דעתו של השופט </w:t>
      </w:r>
      <w:r>
        <w:rPr>
          <w:rFonts w:ascii="David" w:hAnsi="David" w:cs="David"/>
          <w:b/>
          <w:bCs/>
          <w:spacing w:val="0"/>
          <w:sz w:val="24"/>
          <w:szCs w:val="24"/>
          <w:rtl/>
          <w:lang w:eastAsia="en-US"/>
        </w:rPr>
        <w:t>י' עמית</w:t>
      </w:r>
      <w:r>
        <w:rPr>
          <w:rFonts w:ascii="David" w:hAnsi="David" w:cs="David"/>
          <w:b/>
          <w:bCs/>
          <w:sz w:val="24"/>
          <w:szCs w:val="24"/>
          <w:rtl/>
        </w:rPr>
        <w:t xml:space="preserve"> (26.10.11)). הוצגה הגישה לפיה הסדר החלוקה צריך </w:t>
      </w:r>
      <w:r>
        <w:rPr>
          <w:rFonts w:ascii="David" w:hAnsi="David" w:cs="David"/>
          <w:b/>
          <w:bCs/>
          <w:sz w:val="24"/>
          <w:szCs w:val="24"/>
          <w:rtl/>
        </w:rPr>
        <w:lastRenderedPageBreak/>
        <w:t xml:space="preserve">להתמקד לאו דווקא בחלוקה שווה בשווה; אלא </w:t>
      </w:r>
      <w:r>
        <w:rPr>
          <w:rFonts w:ascii="David" w:hAnsi="David" w:cs="David"/>
          <w:b/>
          <w:bCs/>
          <w:sz w:val="24"/>
          <w:szCs w:val="24"/>
          <w:u w:val="single"/>
          <w:rtl/>
        </w:rPr>
        <w:t>חלוקה שתקנה לכל אחד מבני הזוג שוויון הזדמנויות בחיים שלאחר הפירוד, כך שכל אחד כשלעצמו יוכל לבנות את עתידו</w:t>
      </w:r>
      <w:r>
        <w:rPr>
          <w:rFonts w:ascii="David" w:hAnsi="David" w:cs="David"/>
          <w:b/>
          <w:bCs/>
          <w:sz w:val="24"/>
          <w:szCs w:val="24"/>
          <w:rtl/>
        </w:rPr>
        <w:t xml:space="preserve"> (ש' שוחט "הלכת השיתוף - מחלוקה שווה לשוויוניות בחלוקה" </w:t>
      </w:r>
      <w:r>
        <w:rPr>
          <w:rFonts w:ascii="David" w:hAnsi="David" w:cs="David"/>
          <w:b/>
          <w:bCs/>
          <w:spacing w:val="0"/>
          <w:sz w:val="24"/>
          <w:szCs w:val="24"/>
          <w:rtl/>
          <w:lang w:eastAsia="en-US"/>
        </w:rPr>
        <w:t xml:space="preserve">ספר שמגר </w:t>
      </w:r>
      <w:r>
        <w:rPr>
          <w:rFonts w:ascii="David" w:hAnsi="David" w:cs="David"/>
          <w:b/>
          <w:bCs/>
          <w:sz w:val="24"/>
          <w:szCs w:val="24"/>
          <w:rtl/>
          <w:lang w:eastAsia="en-US"/>
        </w:rPr>
        <w:t>ג</w:t>
      </w:r>
      <w:r>
        <w:rPr>
          <w:rFonts w:ascii="David" w:hAnsi="David" w:cs="David"/>
          <w:b/>
          <w:bCs/>
          <w:sz w:val="24"/>
          <w:szCs w:val="24"/>
          <w:rtl/>
        </w:rPr>
        <w:t xml:space="preserve"> 731, 739 (תשס"ג)). </w:t>
      </w:r>
      <w:r>
        <w:rPr>
          <w:rFonts w:ascii="David" w:hAnsi="David" w:cs="David"/>
          <w:b/>
          <w:bCs/>
          <w:sz w:val="24"/>
          <w:szCs w:val="24"/>
          <w:u w:val="single"/>
          <w:rtl/>
        </w:rPr>
        <w:t>תכליתו של סעיף 8 הינה לאפשר לבית המשפט לסטות מההסדר בסעיף 5 כדי לקיים את העקרונות המנחים שעומדים ביסודו של ההסדר – שוויון ואוטונומיה – גם במקרים המיוחדים.</w:t>
      </w:r>
      <w:r>
        <w:rPr>
          <w:rFonts w:ascii="David" w:hAnsi="David" w:cs="David"/>
          <w:b/>
          <w:bCs/>
          <w:sz w:val="24"/>
          <w:szCs w:val="24"/>
          <w:rtl/>
        </w:rPr>
        <w:t xml:space="preserve"> נדמה כי שיקולי מדיניות תומכים בחלוקה מחצה על מחצה של נכסי בני הזוג, לא רק כדי לשקף את השוויון, אלא גם על מנת לקדם אותו..." (</w:t>
      </w:r>
      <w:r>
        <w:rPr>
          <w:rFonts w:ascii="David" w:hAnsi="David" w:cs="David"/>
          <w:sz w:val="24"/>
          <w:szCs w:val="24"/>
          <w:rtl/>
        </w:rPr>
        <w:t>ההדגשה אינה במקור, ל.ד-ח</w:t>
      </w:r>
      <w:r>
        <w:rPr>
          <w:rFonts w:ascii="David" w:hAnsi="David" w:cs="David"/>
          <w:b/>
          <w:bCs/>
          <w:sz w:val="24"/>
          <w:szCs w:val="24"/>
          <w:rtl/>
        </w:rPr>
        <w:t>).</w:t>
      </w:r>
    </w:p>
    <w:p w:rsidR="00431038" w:rsidRDefault="00431038" w:rsidP="00431038">
      <w:pPr>
        <w:pStyle w:val="Ruller40"/>
        <w:numPr>
          <w:ilvl w:val="0"/>
          <w:numId w:val="1"/>
        </w:numPr>
        <w:tabs>
          <w:tab w:val="left" w:pos="651"/>
        </w:tabs>
        <w:spacing w:before="240" w:after="240"/>
        <w:ind w:left="720" w:right="426"/>
        <w:rPr>
          <w:rFonts w:ascii="David" w:hAnsi="David" w:cs="David"/>
          <w:sz w:val="24"/>
          <w:szCs w:val="24"/>
          <w:rtl/>
        </w:rPr>
      </w:pPr>
      <w:r>
        <w:rPr>
          <w:rFonts w:ascii="David" w:hAnsi="David" w:cs="David"/>
          <w:sz w:val="24"/>
          <w:szCs w:val="24"/>
          <w:rtl/>
        </w:rPr>
        <w:t xml:space="preserve">עוד אפנה לדברי כב' המשנה לנשיאה, השופט א. רובינשטיין בבע"מ 8206/14 </w:t>
      </w:r>
      <w:r>
        <w:rPr>
          <w:rFonts w:ascii="David" w:hAnsi="David" w:cs="David"/>
          <w:b/>
          <w:bCs/>
          <w:sz w:val="24"/>
          <w:szCs w:val="24"/>
          <w:rtl/>
        </w:rPr>
        <w:t>פלונית נ' פלוני</w:t>
      </w:r>
      <w:r>
        <w:rPr>
          <w:rFonts w:ascii="David" w:hAnsi="David" w:cs="David"/>
          <w:sz w:val="24"/>
          <w:szCs w:val="24"/>
          <w:rtl/>
        </w:rPr>
        <w:t xml:space="preserve"> (14.04.2015):</w:t>
      </w:r>
    </w:p>
    <w:p w:rsidR="00431038" w:rsidRDefault="00431038" w:rsidP="00431038">
      <w:pPr>
        <w:pStyle w:val="Ruller40"/>
        <w:spacing w:before="240" w:after="240"/>
        <w:ind w:left="720" w:right="426"/>
        <w:rPr>
          <w:rFonts w:ascii="David" w:hAnsi="David" w:cs="David"/>
          <w:sz w:val="24"/>
          <w:szCs w:val="24"/>
          <w:rtl/>
        </w:rPr>
      </w:pPr>
      <w:r>
        <w:rPr>
          <w:rtl/>
        </w:rPr>
        <w:t>"</w:t>
      </w:r>
      <w:r>
        <w:rPr>
          <w:rFonts w:ascii="David" w:hAnsi="David" w:cs="David"/>
          <w:b/>
          <w:bCs/>
          <w:sz w:val="24"/>
          <w:szCs w:val="24"/>
          <w:u w:val="single"/>
          <w:rtl/>
        </w:rPr>
        <w:t xml:space="preserve">המחוקק הותיר לשיקול דעתם של בתי המשפט ובתי הדין פיתוח כללים מתאימים באשר לנסיבות הספציפיות לשימוש בסמכות זו, ואין מדובר ברשימה סגורה </w:t>
      </w:r>
      <w:r>
        <w:rPr>
          <w:rFonts w:ascii="David" w:hAnsi="David" w:cs="David"/>
          <w:b/>
          <w:bCs/>
          <w:sz w:val="24"/>
          <w:szCs w:val="24"/>
          <w:rtl/>
        </w:rPr>
        <w:t xml:space="preserve">(ראו למשל אריאל רוזן-צבי </w:t>
      </w:r>
      <w:r>
        <w:rPr>
          <w:rFonts w:ascii="David" w:hAnsi="David" w:cs="David"/>
          <w:b/>
          <w:bCs/>
          <w:spacing w:val="0"/>
          <w:sz w:val="24"/>
          <w:szCs w:val="24"/>
          <w:rtl/>
        </w:rPr>
        <w:t>יחסי ממון בין בני זוג</w:t>
      </w:r>
      <w:r>
        <w:rPr>
          <w:rFonts w:ascii="David" w:hAnsi="David" w:cs="David"/>
          <w:b/>
          <w:bCs/>
          <w:sz w:val="24"/>
          <w:szCs w:val="24"/>
          <w:rtl/>
        </w:rPr>
        <w:t xml:space="preserve"> (תשמ"ב) (להלן </w:t>
      </w:r>
      <w:r>
        <w:rPr>
          <w:rFonts w:ascii="David" w:hAnsi="David" w:cs="David"/>
          <w:b/>
          <w:bCs/>
          <w:spacing w:val="0"/>
          <w:sz w:val="24"/>
          <w:szCs w:val="24"/>
          <w:rtl/>
        </w:rPr>
        <w:t>רוזן-צבי</w:t>
      </w:r>
      <w:r>
        <w:rPr>
          <w:rFonts w:ascii="David" w:hAnsi="David" w:cs="David"/>
          <w:b/>
          <w:bCs/>
          <w:sz w:val="24"/>
          <w:szCs w:val="24"/>
          <w:rtl/>
        </w:rPr>
        <w:t xml:space="preserve">); </w:t>
      </w:r>
      <w:hyperlink r:id="rId8" w:history="1">
        <w:r>
          <w:rPr>
            <w:rStyle w:val="Hyperlink"/>
            <w:rFonts w:ascii="David" w:hAnsi="David" w:cs="David"/>
            <w:b/>
            <w:bCs/>
            <w:sz w:val="24"/>
            <w:szCs w:val="24"/>
            <w:rtl/>
          </w:rPr>
          <w:t>בע"מ 7272/10</w:t>
        </w:r>
      </w:hyperlink>
      <w:r>
        <w:rPr>
          <w:rFonts w:ascii="David" w:hAnsi="David" w:cs="David"/>
          <w:b/>
          <w:bCs/>
          <w:sz w:val="24"/>
          <w:szCs w:val="24"/>
          <w:rtl/>
        </w:rPr>
        <w:t xml:space="preserve"> </w:t>
      </w:r>
      <w:r>
        <w:rPr>
          <w:rFonts w:ascii="David" w:hAnsi="David" w:cs="David"/>
          <w:b/>
          <w:bCs/>
          <w:spacing w:val="0"/>
          <w:sz w:val="24"/>
          <w:szCs w:val="24"/>
          <w:rtl/>
        </w:rPr>
        <w:t>פלונית נ' פלוני</w:t>
      </w:r>
      <w:r>
        <w:rPr>
          <w:rFonts w:ascii="David" w:hAnsi="David" w:cs="David"/>
          <w:b/>
          <w:bCs/>
          <w:sz w:val="24"/>
          <w:szCs w:val="24"/>
          <w:rtl/>
        </w:rPr>
        <w:t xml:space="preserve"> </w:t>
      </w:r>
      <w:r>
        <w:rPr>
          <w:rFonts w:ascii="David" w:hAnsi="David" w:cs="David"/>
          <w:b/>
          <w:bCs/>
          <w:spacing w:val="0"/>
          <w:sz w:val="24"/>
          <w:szCs w:val="24"/>
          <w:rtl/>
        </w:rPr>
        <w:t xml:space="preserve">[פורסם בנבו] </w:t>
      </w:r>
      <w:r>
        <w:rPr>
          <w:rFonts w:ascii="David" w:hAnsi="David" w:cs="David"/>
          <w:b/>
          <w:bCs/>
          <w:sz w:val="24"/>
          <w:szCs w:val="24"/>
          <w:rtl/>
        </w:rPr>
        <w:t xml:space="preserve">(2014), פסקה 2 לחוות דעתו של השופט הנדל; </w:t>
      </w:r>
      <w:hyperlink r:id="rId9" w:history="1">
        <w:r>
          <w:rPr>
            <w:rStyle w:val="Hyperlink"/>
            <w:rFonts w:ascii="David" w:hAnsi="David" w:cs="David"/>
            <w:b/>
            <w:bCs/>
            <w:sz w:val="24"/>
            <w:szCs w:val="24"/>
            <w:rtl/>
          </w:rPr>
          <w:t>בע"מ 4047/14</w:t>
        </w:r>
      </w:hyperlink>
      <w:r>
        <w:rPr>
          <w:rFonts w:ascii="David" w:hAnsi="David" w:cs="David"/>
          <w:b/>
          <w:bCs/>
          <w:sz w:val="24"/>
          <w:szCs w:val="24"/>
          <w:rtl/>
        </w:rPr>
        <w:t xml:space="preserve"> </w:t>
      </w:r>
      <w:r>
        <w:rPr>
          <w:rFonts w:ascii="David" w:hAnsi="David" w:cs="David"/>
          <w:b/>
          <w:bCs/>
          <w:spacing w:val="0"/>
          <w:sz w:val="24"/>
          <w:szCs w:val="24"/>
          <w:rtl/>
        </w:rPr>
        <w:t>פלוני נ' פלונית</w:t>
      </w:r>
      <w:r>
        <w:rPr>
          <w:rFonts w:ascii="David" w:hAnsi="David" w:cs="David"/>
          <w:b/>
          <w:bCs/>
          <w:sz w:val="24"/>
          <w:szCs w:val="24"/>
          <w:rtl/>
        </w:rPr>
        <w:t xml:space="preserve"> </w:t>
      </w:r>
      <w:r>
        <w:rPr>
          <w:rFonts w:ascii="David" w:hAnsi="David" w:cs="David"/>
          <w:b/>
          <w:bCs/>
          <w:spacing w:val="0"/>
          <w:sz w:val="24"/>
          <w:szCs w:val="24"/>
          <w:rtl/>
        </w:rPr>
        <w:t xml:space="preserve">[פורסם בנבו] </w:t>
      </w:r>
      <w:r>
        <w:rPr>
          <w:rFonts w:ascii="David" w:hAnsi="David" w:cs="David"/>
          <w:b/>
          <w:bCs/>
          <w:sz w:val="24"/>
          <w:szCs w:val="24"/>
          <w:rtl/>
        </w:rPr>
        <w:t xml:space="preserve">(2014) פסקה ו'; </w:t>
      </w:r>
      <w:hyperlink r:id="rId10" w:history="1">
        <w:r>
          <w:rPr>
            <w:rStyle w:val="Hyperlink"/>
            <w:rFonts w:ascii="David" w:hAnsi="David" w:cs="David"/>
            <w:b/>
            <w:bCs/>
            <w:sz w:val="24"/>
            <w:szCs w:val="24"/>
            <w:rtl/>
          </w:rPr>
          <w:t>תמ"ש (שלום י-ם) 20964/02</w:t>
        </w:r>
      </w:hyperlink>
      <w:r>
        <w:rPr>
          <w:rFonts w:ascii="David" w:hAnsi="David" w:cs="David"/>
          <w:b/>
          <w:bCs/>
          <w:sz w:val="24"/>
          <w:szCs w:val="24"/>
          <w:rtl/>
        </w:rPr>
        <w:t xml:space="preserve"> </w:t>
      </w:r>
      <w:r>
        <w:rPr>
          <w:rFonts w:ascii="David" w:hAnsi="David" w:cs="David"/>
          <w:b/>
          <w:bCs/>
          <w:spacing w:val="0"/>
          <w:sz w:val="24"/>
          <w:szCs w:val="24"/>
          <w:rtl/>
        </w:rPr>
        <w:t xml:space="preserve">פלונית נ' אלמוני [פורסם בנבו] </w:t>
      </w:r>
      <w:r>
        <w:rPr>
          <w:rFonts w:ascii="David" w:hAnsi="David" w:cs="David"/>
          <w:b/>
          <w:bCs/>
          <w:sz w:val="24"/>
          <w:szCs w:val="24"/>
          <w:rtl/>
        </w:rPr>
        <w:t xml:space="preserve">(2009) (להלן </w:t>
      </w:r>
      <w:r>
        <w:rPr>
          <w:rFonts w:ascii="David" w:hAnsi="David" w:cs="David"/>
          <w:b/>
          <w:bCs/>
          <w:spacing w:val="0"/>
          <w:sz w:val="24"/>
          <w:szCs w:val="24"/>
          <w:rtl/>
        </w:rPr>
        <w:t>עניין פלונית</w:t>
      </w:r>
      <w:r>
        <w:rPr>
          <w:rFonts w:ascii="David" w:hAnsi="David" w:cs="David"/>
          <w:b/>
          <w:bCs/>
          <w:sz w:val="24"/>
          <w:szCs w:val="24"/>
          <w:rtl/>
        </w:rPr>
        <w:t xml:space="preserve"> 2009)). </w:t>
      </w:r>
      <w:r>
        <w:rPr>
          <w:rFonts w:ascii="David" w:hAnsi="David" w:cs="David"/>
          <w:b/>
          <w:bCs/>
          <w:sz w:val="24"/>
          <w:szCs w:val="24"/>
          <w:u w:val="single"/>
          <w:rtl/>
        </w:rPr>
        <w:t>נסיבות מיוחדות, כאמור, התפתחו בחלוף הזמן והותאמו למצבי המשפחה החדשים שאותם הביאה בכנפיה "רוח העידן</w:t>
      </w:r>
      <w:r>
        <w:rPr>
          <w:rFonts w:ascii="David" w:eastAsia="MS Mincho" w:hAnsi="David" w:cs="David"/>
          <w:b/>
          <w:bCs/>
          <w:spacing w:val="6"/>
          <w:sz w:val="24"/>
          <w:szCs w:val="24"/>
          <w:u w:val="single"/>
          <w:rtl/>
        </w:rPr>
        <w:t>, פתיחת הדלתות לגישה שאינה 'פורמאלית' בלבד הנאחזת ברישום הנכס, אלא בוחנת מצבים חברתיים ואישיים למהותם, מרחפת על פני הפסיקה זה שנים</w:t>
      </w:r>
      <w:r>
        <w:rPr>
          <w:rFonts w:ascii="David" w:eastAsia="MS Mincho" w:hAnsi="David" w:cs="David"/>
          <w:b/>
          <w:bCs/>
          <w:spacing w:val="6"/>
          <w:sz w:val="24"/>
          <w:szCs w:val="24"/>
          <w:rtl/>
        </w:rPr>
        <w:t xml:space="preserve"> </w:t>
      </w:r>
      <w:r>
        <w:rPr>
          <w:rFonts w:ascii="David" w:eastAsia="MS Mincho" w:hAnsi="David" w:cs="David"/>
          <w:b/>
          <w:bCs/>
          <w:spacing w:val="6"/>
          <w:sz w:val="24"/>
          <w:szCs w:val="24"/>
          <w:u w:val="single"/>
          <w:rtl/>
        </w:rPr>
        <w:t>באשר לשיתוף הנכסים גם לגבי נכסים שנרכשו לפני הנישואין, ובייחוד דירת המגורים</w:t>
      </w:r>
      <w:r>
        <w:rPr>
          <w:rFonts w:ascii="David" w:eastAsia="MS Mincho" w:hAnsi="David" w:cs="David"/>
          <w:b/>
          <w:bCs/>
          <w:spacing w:val="6"/>
          <w:sz w:val="24"/>
          <w:szCs w:val="24"/>
          <w:rtl/>
        </w:rPr>
        <w:t xml:space="preserve">. [...] </w:t>
      </w:r>
      <w:r>
        <w:rPr>
          <w:rFonts w:ascii="David" w:eastAsia="MS Mincho" w:hAnsi="David" w:cs="David"/>
          <w:b/>
          <w:bCs/>
          <w:spacing w:val="6"/>
          <w:sz w:val="24"/>
          <w:szCs w:val="24"/>
          <w:u w:val="single"/>
          <w:rtl/>
        </w:rPr>
        <w:t>ככל שהתוכן המשותף שנוצק לקניין, ובוודאי לדירת המגורים של זוג ומשפחה, משמעותי יותר, וככל שהייתה שותפות נמשכת בחיי הנישואין ולה ביטויים מסוגים שונים, גם אם לא היו החיים 'גן של ורדים' בכל עת ובכל שעה, כן מצדיקה ההגינות כי תגבר ההתייחסות לחזקת השיתוף, ובייחוד על נכס כמו דירת המגורים, קן המשפחה"</w:t>
      </w:r>
      <w:r>
        <w:rPr>
          <w:rFonts w:ascii="David" w:eastAsia="MS Mincho" w:hAnsi="David" w:cs="David"/>
          <w:b/>
          <w:bCs/>
          <w:spacing w:val="6"/>
          <w:sz w:val="24"/>
          <w:szCs w:val="24"/>
          <w:rtl/>
        </w:rPr>
        <w:t xml:space="preserve"> (חוות דעתי </w:t>
      </w:r>
      <w:hyperlink r:id="rId11" w:history="1">
        <w:r>
          <w:rPr>
            <w:rStyle w:val="Hyperlink"/>
            <w:rFonts w:ascii="David" w:eastAsia="MS Mincho" w:hAnsi="David" w:cs="David"/>
            <w:b/>
            <w:bCs/>
            <w:spacing w:val="6"/>
            <w:sz w:val="24"/>
            <w:szCs w:val="24"/>
            <w:rtl/>
          </w:rPr>
          <w:t>בע"מ 5939/04 פלוני נ' פלונית, פ"ד נט</w:t>
        </w:r>
      </w:hyperlink>
      <w:r>
        <w:rPr>
          <w:rFonts w:ascii="David" w:eastAsia="MS Mincho" w:hAnsi="David" w:cs="David"/>
          <w:b/>
          <w:bCs/>
          <w:spacing w:val="6"/>
          <w:sz w:val="24"/>
          <w:szCs w:val="24"/>
          <w:rtl/>
        </w:rPr>
        <w:t xml:space="preserve">(1) 665 (2004), עמ' 672-671; </w:t>
      </w:r>
      <w:hyperlink r:id="rId12" w:history="1">
        <w:r>
          <w:rPr>
            <w:rStyle w:val="Hyperlink"/>
            <w:rFonts w:ascii="David" w:eastAsia="MS Mincho" w:hAnsi="David" w:cs="David"/>
            <w:b/>
            <w:bCs/>
            <w:spacing w:val="6"/>
            <w:sz w:val="24"/>
            <w:szCs w:val="24"/>
            <w:rtl/>
          </w:rPr>
          <w:t>בע"מ 1398/11</w:t>
        </w:r>
      </w:hyperlink>
      <w:r>
        <w:rPr>
          <w:rFonts w:ascii="David" w:eastAsia="MS Mincho" w:hAnsi="David" w:cs="David"/>
          <w:b/>
          <w:bCs/>
          <w:spacing w:val="6"/>
          <w:sz w:val="24"/>
          <w:szCs w:val="24"/>
          <w:rtl/>
        </w:rPr>
        <w:t xml:space="preserve"> </w:t>
      </w:r>
      <w:r>
        <w:rPr>
          <w:rFonts w:ascii="David" w:eastAsia="MS Mincho" w:hAnsi="David" w:cs="David"/>
          <w:b/>
          <w:bCs/>
          <w:spacing w:val="0"/>
          <w:sz w:val="24"/>
          <w:szCs w:val="24"/>
          <w:rtl/>
        </w:rPr>
        <w:t>אלמונית נ' אלמוני</w:t>
      </w:r>
      <w:r>
        <w:rPr>
          <w:rFonts w:ascii="David" w:eastAsia="MS Mincho" w:hAnsi="David" w:cs="David"/>
          <w:b/>
          <w:bCs/>
          <w:spacing w:val="6"/>
          <w:sz w:val="24"/>
          <w:szCs w:val="24"/>
          <w:rtl/>
        </w:rPr>
        <w:t xml:space="preserve"> </w:t>
      </w:r>
      <w:r>
        <w:rPr>
          <w:rFonts w:ascii="David" w:eastAsia="MS Mincho" w:hAnsi="David" w:cs="David"/>
          <w:b/>
          <w:bCs/>
          <w:spacing w:val="0"/>
          <w:sz w:val="24"/>
          <w:szCs w:val="24"/>
          <w:rtl/>
        </w:rPr>
        <w:t xml:space="preserve">[פורסם בנבו] </w:t>
      </w:r>
      <w:r>
        <w:rPr>
          <w:rFonts w:ascii="David" w:eastAsia="MS Mincho" w:hAnsi="David" w:cs="David"/>
          <w:b/>
          <w:bCs/>
          <w:spacing w:val="6"/>
          <w:sz w:val="24"/>
          <w:szCs w:val="24"/>
          <w:rtl/>
        </w:rPr>
        <w:t>(2012) פסקה 15).</w:t>
      </w:r>
      <w:r>
        <w:rPr>
          <w:rFonts w:ascii="David" w:hAnsi="David" w:cs="David"/>
          <w:b/>
          <w:bCs/>
          <w:sz w:val="24"/>
          <w:szCs w:val="24"/>
          <w:rtl/>
        </w:rPr>
        <w:t xml:space="preserve"> </w:t>
      </w:r>
      <w:r>
        <w:rPr>
          <w:rFonts w:ascii="David" w:hAnsi="David" w:cs="David"/>
          <w:b/>
          <w:bCs/>
          <w:sz w:val="24"/>
          <w:szCs w:val="24"/>
          <w:u w:val="single"/>
          <w:rtl/>
        </w:rPr>
        <w:t>ואכן התפתחו מצבי משפחה, שכפי שנאמר בהקשר אחר בטאון "מערכות יחסים שלא שערום אבותינו"</w:t>
      </w:r>
      <w:r>
        <w:rPr>
          <w:rFonts w:ascii="David" w:hAnsi="David" w:cs="David"/>
          <w:b/>
          <w:bCs/>
          <w:sz w:val="24"/>
          <w:szCs w:val="24"/>
          <w:rtl/>
        </w:rPr>
        <w:t xml:space="preserve"> (</w:t>
      </w:r>
      <w:hyperlink r:id="rId13" w:history="1">
        <w:r>
          <w:rPr>
            <w:rStyle w:val="Hyperlink"/>
            <w:rFonts w:ascii="David" w:hAnsi="David" w:cs="David"/>
            <w:b/>
            <w:bCs/>
            <w:sz w:val="24"/>
            <w:szCs w:val="24"/>
            <w:rtl/>
          </w:rPr>
          <w:t>בג"ץ 4178/04 פלונית נ' בית הדין הרבני לערעורים, פ"ד סב</w:t>
        </w:r>
      </w:hyperlink>
      <w:r>
        <w:rPr>
          <w:rFonts w:ascii="David" w:hAnsi="David" w:cs="David"/>
          <w:b/>
          <w:bCs/>
          <w:sz w:val="24"/>
          <w:szCs w:val="24"/>
          <w:rtl/>
        </w:rPr>
        <w:t xml:space="preserve">(1) 235 (2006) (להלן </w:t>
      </w:r>
      <w:r>
        <w:rPr>
          <w:rFonts w:ascii="David" w:hAnsi="David" w:cs="David"/>
          <w:b/>
          <w:bCs/>
          <w:spacing w:val="0"/>
          <w:sz w:val="24"/>
          <w:szCs w:val="24"/>
          <w:rtl/>
        </w:rPr>
        <w:t>עניין פלוני 2006</w:t>
      </w:r>
      <w:r>
        <w:rPr>
          <w:rFonts w:ascii="David" w:hAnsi="David" w:cs="David"/>
          <w:b/>
          <w:bCs/>
          <w:sz w:val="24"/>
          <w:szCs w:val="24"/>
          <w:rtl/>
        </w:rPr>
        <w:t xml:space="preserve">)). </w:t>
      </w:r>
      <w:r>
        <w:rPr>
          <w:rFonts w:ascii="David" w:hAnsi="David" w:cs="David"/>
          <w:b/>
          <w:bCs/>
          <w:sz w:val="24"/>
          <w:szCs w:val="24"/>
          <w:u w:val="single"/>
          <w:rtl/>
        </w:rPr>
        <w:t xml:space="preserve">האפשרות של אחד מבני הזוג, כאן המשיב-הבעל, להיות "נפקד נוכח" בביתו תוך שהאשה משלימה עם מצב עגמומי זה, אם ברצונה לשיטת המשיב, ואם שלא מרצונה לשיטתה. מצב זה כינה השופט </w:t>
      </w:r>
      <w:r>
        <w:rPr>
          <w:rFonts w:ascii="David" w:hAnsi="David" w:cs="David"/>
          <w:b/>
          <w:bCs/>
          <w:spacing w:val="0"/>
          <w:sz w:val="24"/>
          <w:szCs w:val="24"/>
          <w:u w:val="single"/>
          <w:rtl/>
        </w:rPr>
        <w:lastRenderedPageBreak/>
        <w:t>ויצמן</w:t>
      </w:r>
      <w:r>
        <w:rPr>
          <w:rFonts w:ascii="David" w:hAnsi="David" w:cs="David"/>
          <w:b/>
          <w:bCs/>
          <w:sz w:val="24"/>
          <w:szCs w:val="24"/>
          <w:u w:val="single"/>
          <w:rtl/>
        </w:rPr>
        <w:t xml:space="preserve"> "שיתופיות מוחלשת" והמינוח מקובל עלי, ולדידי ניתן להשתמש גם בביטוי "שיתופיות לשיעורין". מצב כזה מן הסתם אינו שכיח מאוד, אך אין – גם על פי השכל הישר – להתעלם מקיומו ומקיום מצבים דומים לו של יחסים "מן הצד", יחסי פילגשות וכדומה.</w:t>
      </w:r>
      <w:r>
        <w:rPr>
          <w:rFonts w:ascii="David" w:hAnsi="David" w:cs="David"/>
          <w:b/>
          <w:bCs/>
          <w:sz w:val="24"/>
          <w:szCs w:val="24"/>
          <w:rtl/>
        </w:rPr>
        <w:t xml:space="preserve"> </w:t>
      </w:r>
      <w:r>
        <w:rPr>
          <w:rFonts w:ascii="David" w:hAnsi="David" w:cs="David"/>
          <w:b/>
          <w:bCs/>
          <w:sz w:val="24"/>
          <w:szCs w:val="24"/>
          <w:u w:val="single"/>
          <w:rtl/>
        </w:rPr>
        <w:t>לפיכך, על דרך הכלל</w:t>
      </w:r>
      <w:r>
        <w:rPr>
          <w:rFonts w:ascii="David" w:hAnsi="David" w:cs="David"/>
          <w:b/>
          <w:bCs/>
          <w:sz w:val="24"/>
          <w:szCs w:val="24"/>
          <w:rtl/>
        </w:rPr>
        <w:t xml:space="preserve">, ותהא עמדתנו הערכית כלפי יחסים כאלה כאשר תהא, </w:t>
      </w:r>
      <w:r>
        <w:rPr>
          <w:rFonts w:ascii="David" w:hAnsi="David" w:cs="David"/>
          <w:b/>
          <w:bCs/>
          <w:sz w:val="24"/>
          <w:szCs w:val="24"/>
          <w:u w:val="single"/>
          <w:rtl/>
        </w:rPr>
        <w:t xml:space="preserve">יש מקום לתת לכך ביטוי גם באופן החלוקה, מקום שבעלי הדין מנהלים מערכת לא שויונית, בשונה מן המצב ה"רגיל", בו אמורים שני הצדדים להירתם יחדיו לקיום התא המשפחתי, כנדרש לצורך חלוקת מחצה על מחצה לפי </w:t>
      </w:r>
      <w:hyperlink r:id="rId14" w:history="1">
        <w:r>
          <w:rPr>
            <w:rStyle w:val="Hyperlink"/>
            <w:rFonts w:ascii="David" w:hAnsi="David" w:cs="David"/>
            <w:b/>
            <w:bCs/>
            <w:sz w:val="24"/>
            <w:szCs w:val="24"/>
            <w:rtl/>
          </w:rPr>
          <w:t>סעיף 5</w:t>
        </w:r>
      </w:hyperlink>
      <w:r>
        <w:rPr>
          <w:rFonts w:ascii="David" w:hAnsi="David" w:cs="David"/>
          <w:b/>
          <w:bCs/>
          <w:sz w:val="24"/>
          <w:szCs w:val="24"/>
          <w:rtl/>
        </w:rPr>
        <w:t xml:space="preserve"> לחוק, כאמת המידה המרכזית להפעלת סמכותו של בית המשפט בגדרי יחסי ממון...." </w:t>
      </w:r>
      <w:r>
        <w:rPr>
          <w:rFonts w:ascii="David" w:hAnsi="David" w:cs="David"/>
          <w:sz w:val="24"/>
          <w:szCs w:val="24"/>
          <w:rtl/>
        </w:rPr>
        <w:t>(ההדגשות אינן במקור ל.ד-ח).</w:t>
      </w:r>
    </w:p>
    <w:p w:rsidR="00431038" w:rsidRDefault="00431038" w:rsidP="00431038">
      <w:pPr>
        <w:pStyle w:val="aa"/>
        <w:numPr>
          <w:ilvl w:val="0"/>
          <w:numId w:val="1"/>
        </w:numPr>
        <w:spacing w:line="360" w:lineRule="auto"/>
        <w:jc w:val="both"/>
        <w:rPr>
          <w:rFonts w:ascii="David" w:hAnsi="David" w:cs="David"/>
          <w:b/>
          <w:bCs/>
          <w:sz w:val="24"/>
          <w:szCs w:val="24"/>
          <w:rtl/>
        </w:rPr>
      </w:pPr>
      <w:r>
        <w:rPr>
          <w:rFonts w:ascii="David" w:hAnsi="David" w:cs="David"/>
          <w:sz w:val="24"/>
          <w:szCs w:val="24"/>
          <w:rtl/>
        </w:rPr>
        <w:t>אמת המידה המרכזית שהוצעה להפעלת שיקול הדעת, נוגעת למאמץ המשותף ולמילוי חובותיהם של בני הזוג במסגרת הנישואין, ובמיוחד מילוי חובותיהם הכלכליות והתחשבות בפער משמעותי בין מאמציהם למען רווחת המשפחה, ושיקולי צדק</w:t>
      </w:r>
      <w:r>
        <w:rPr>
          <w:rFonts w:ascii="David" w:hAnsi="David" w:cs="David"/>
          <w:b/>
          <w:bCs/>
          <w:sz w:val="24"/>
          <w:szCs w:val="24"/>
          <w:rtl/>
        </w:rPr>
        <w:t xml:space="preserve"> </w:t>
      </w:r>
      <w:r>
        <w:rPr>
          <w:rFonts w:ascii="David" w:hAnsi="David" w:cs="David"/>
          <w:sz w:val="24"/>
          <w:szCs w:val="24"/>
          <w:rtl/>
        </w:rPr>
        <w:t>(תמ"ש (ת"א) 23025-06-10</w:t>
      </w:r>
      <w:r>
        <w:rPr>
          <w:rFonts w:ascii="David" w:hAnsi="David" w:cs="David"/>
          <w:b/>
          <w:bCs/>
          <w:sz w:val="24"/>
          <w:szCs w:val="24"/>
          <w:rtl/>
        </w:rPr>
        <w:t xml:space="preserve"> י. נ' א </w:t>
      </w:r>
      <w:r>
        <w:rPr>
          <w:rFonts w:ascii="David" w:hAnsi="David" w:cs="David"/>
          <w:sz w:val="24"/>
          <w:szCs w:val="24"/>
          <w:rtl/>
        </w:rPr>
        <w:t>[נבו] (18.5.2012), פסקה 12). כפי</w:t>
      </w:r>
      <w:r>
        <w:rPr>
          <w:rFonts w:ascii="David" w:hAnsi="David" w:cs="David"/>
          <w:b/>
          <w:bCs/>
          <w:sz w:val="24"/>
          <w:szCs w:val="24"/>
          <w:rtl/>
        </w:rPr>
        <w:t xml:space="preserve"> </w:t>
      </w:r>
      <w:r>
        <w:rPr>
          <w:rFonts w:ascii="David" w:hAnsi="David" w:cs="David"/>
          <w:sz w:val="24"/>
          <w:szCs w:val="24"/>
          <w:rtl/>
        </w:rPr>
        <w:t>שנקבע בתמ"ש 1066/06 (ב"ש)</w:t>
      </w:r>
      <w:r>
        <w:rPr>
          <w:rFonts w:ascii="David" w:hAnsi="David" w:cs="David"/>
          <w:b/>
          <w:bCs/>
          <w:sz w:val="24"/>
          <w:szCs w:val="24"/>
          <w:rtl/>
        </w:rPr>
        <w:t xml:space="preserve"> נ.ש. נ' ש.ל </w:t>
      </w:r>
      <w:r>
        <w:rPr>
          <w:rFonts w:ascii="David" w:hAnsi="David" w:cs="David"/>
          <w:sz w:val="24"/>
          <w:szCs w:val="24"/>
          <w:rtl/>
        </w:rPr>
        <w:t>[נבו] (30.5.2011)</w:t>
      </w:r>
      <w:r>
        <w:rPr>
          <w:rFonts w:ascii="David" w:hAnsi="David" w:cs="David"/>
          <w:b/>
          <w:bCs/>
          <w:sz w:val="24"/>
          <w:szCs w:val="24"/>
          <w:rtl/>
        </w:rPr>
        <w:t>: "כאשר בן זוג אינו מבצע אף אחת מהפונקציות המשפחתיות, לא היותו מפרנס עיקרי ולא טיפול בעבודות הבית והילדים, יש לייחס משקל לעובדה זו ...יש לחתור לשוויון מהותי ולא לשוויון טכני".</w:t>
      </w:r>
    </w:p>
    <w:p w:rsidR="00431038" w:rsidRDefault="00431038" w:rsidP="00431038">
      <w:pPr>
        <w:pStyle w:val="aa"/>
        <w:spacing w:line="240" w:lineRule="auto"/>
        <w:rPr>
          <w:rFonts w:ascii="David" w:hAnsi="David" w:cs="David"/>
          <w:sz w:val="24"/>
          <w:szCs w:val="24"/>
          <w:rtl/>
        </w:rPr>
      </w:pPr>
    </w:p>
    <w:p w:rsidR="00431038" w:rsidRDefault="00431038" w:rsidP="00431038">
      <w:pPr>
        <w:pStyle w:val="aa"/>
        <w:numPr>
          <w:ilvl w:val="0"/>
          <w:numId w:val="1"/>
        </w:numPr>
        <w:spacing w:line="360" w:lineRule="auto"/>
        <w:jc w:val="both"/>
        <w:rPr>
          <w:rFonts w:ascii="David" w:hAnsi="David" w:cs="David"/>
          <w:b/>
          <w:bCs/>
          <w:sz w:val="24"/>
          <w:szCs w:val="24"/>
          <w:rtl/>
        </w:rPr>
      </w:pPr>
      <w:r>
        <w:rPr>
          <w:rFonts w:ascii="David" w:hAnsi="David" w:cs="David"/>
          <w:sz w:val="24"/>
          <w:szCs w:val="24"/>
          <w:rtl/>
        </w:rPr>
        <w:t xml:space="preserve">בעמ"ש 56634-06-20 </w:t>
      </w:r>
      <w:r>
        <w:rPr>
          <w:rFonts w:ascii="David" w:hAnsi="David" w:cs="David"/>
          <w:b/>
          <w:bCs/>
          <w:sz w:val="24"/>
          <w:szCs w:val="24"/>
          <w:rtl/>
        </w:rPr>
        <w:t>פלוני נ' פלונית</w:t>
      </w:r>
      <w:r>
        <w:rPr>
          <w:rFonts w:ascii="David" w:hAnsi="David" w:cs="David"/>
          <w:sz w:val="24"/>
          <w:szCs w:val="24"/>
          <w:rtl/>
        </w:rPr>
        <w:t xml:space="preserve"> (נבו 15.02.2021) פירט כבוד השופט צ. ויצמן, את הנסיבות המיוחדות, בהן יכול ובית המשפט יעשה שימוש בסמכותו. ואלה הן; </w:t>
      </w:r>
      <w:r>
        <w:rPr>
          <w:rFonts w:ascii="David" w:hAnsi="David" w:cs="David"/>
          <w:b/>
          <w:bCs/>
          <w:sz w:val="24"/>
          <w:szCs w:val="24"/>
          <w:rtl/>
        </w:rPr>
        <w:t xml:space="preserve"> </w:t>
      </w:r>
    </w:p>
    <w:p w:rsidR="00431038" w:rsidRDefault="00431038" w:rsidP="00431038">
      <w:pPr>
        <w:pStyle w:val="aa"/>
        <w:numPr>
          <w:ilvl w:val="0"/>
          <w:numId w:val="8"/>
        </w:numPr>
        <w:spacing w:line="360" w:lineRule="auto"/>
        <w:jc w:val="both"/>
        <w:rPr>
          <w:rFonts w:ascii="David" w:hAnsi="David" w:cs="David"/>
          <w:b/>
          <w:bCs/>
          <w:sz w:val="24"/>
          <w:szCs w:val="24"/>
        </w:rPr>
      </w:pPr>
      <w:r>
        <w:rPr>
          <w:rFonts w:ascii="David" w:hAnsi="David" w:cs="David"/>
          <w:b/>
          <w:bCs/>
          <w:sz w:val="24"/>
          <w:szCs w:val="24"/>
          <w:rtl/>
        </w:rPr>
        <w:t>יכולות הכלכליות</w:t>
      </w:r>
      <w:r>
        <w:rPr>
          <w:rFonts w:ascii="David" w:hAnsi="David" w:cs="David"/>
          <w:sz w:val="24"/>
          <w:szCs w:val="24"/>
          <w:rtl/>
        </w:rPr>
        <w:t xml:space="preserve"> של כל אחד מהצדדים לאחר גירושיהם, וחוסר איזון בולט באופן מיוחד מבחינה כלכלית.</w:t>
      </w:r>
    </w:p>
    <w:p w:rsidR="00431038" w:rsidRDefault="00431038" w:rsidP="00431038">
      <w:pPr>
        <w:pStyle w:val="aa"/>
        <w:numPr>
          <w:ilvl w:val="0"/>
          <w:numId w:val="8"/>
        </w:numPr>
        <w:spacing w:line="360" w:lineRule="auto"/>
        <w:jc w:val="both"/>
        <w:rPr>
          <w:rFonts w:ascii="David" w:hAnsi="David" w:cs="David"/>
          <w:b/>
          <w:bCs/>
          <w:sz w:val="24"/>
          <w:szCs w:val="24"/>
          <w:rtl/>
        </w:rPr>
      </w:pPr>
      <w:r>
        <w:rPr>
          <w:rFonts w:ascii="David" w:hAnsi="David" w:cs="David"/>
          <w:sz w:val="24"/>
          <w:szCs w:val="24"/>
          <w:rtl/>
        </w:rPr>
        <w:t xml:space="preserve">מקרה בו לאחד מבני הזוג </w:t>
      </w:r>
      <w:r>
        <w:rPr>
          <w:rFonts w:ascii="David" w:hAnsi="David" w:cs="David"/>
          <w:b/>
          <w:bCs/>
          <w:sz w:val="24"/>
          <w:szCs w:val="24"/>
          <w:rtl/>
        </w:rPr>
        <w:t>נכסים חיצוניים רבים</w:t>
      </w:r>
      <w:r>
        <w:rPr>
          <w:rFonts w:ascii="David" w:hAnsi="David" w:cs="David"/>
          <w:sz w:val="24"/>
          <w:szCs w:val="24"/>
          <w:rtl/>
        </w:rPr>
        <w:t xml:space="preserve"> (מירושה או ממתנות) ומקרה בו אחד מהצדדים בחר להכניס זכויותיו החיצוניות לקופה המשותפת בעוד השני מסרב לעשות כן וכיו"ב.</w:t>
      </w:r>
    </w:p>
    <w:p w:rsidR="00431038" w:rsidRDefault="00431038" w:rsidP="00431038">
      <w:pPr>
        <w:pStyle w:val="aa"/>
        <w:numPr>
          <w:ilvl w:val="0"/>
          <w:numId w:val="8"/>
        </w:numPr>
        <w:spacing w:line="360" w:lineRule="auto"/>
        <w:jc w:val="both"/>
        <w:rPr>
          <w:rFonts w:ascii="David" w:hAnsi="David" w:cs="David"/>
          <w:sz w:val="24"/>
          <w:szCs w:val="24"/>
        </w:rPr>
      </w:pPr>
      <w:r>
        <w:rPr>
          <w:rFonts w:ascii="David" w:hAnsi="David" w:cs="David"/>
          <w:sz w:val="24"/>
          <w:szCs w:val="24"/>
          <w:rtl/>
        </w:rPr>
        <w:t xml:space="preserve">מקרים בהם </w:t>
      </w:r>
      <w:r>
        <w:rPr>
          <w:rFonts w:ascii="David" w:hAnsi="David" w:cs="David"/>
          <w:b/>
          <w:bCs/>
          <w:sz w:val="24"/>
          <w:szCs w:val="24"/>
          <w:rtl/>
        </w:rPr>
        <w:t>התנהגות הצדדים</w:t>
      </w:r>
      <w:r>
        <w:rPr>
          <w:rFonts w:ascii="David" w:hAnsi="David" w:cs="David"/>
          <w:sz w:val="24"/>
          <w:szCs w:val="24"/>
          <w:rtl/>
        </w:rPr>
        <w:t xml:space="preserve"> מביאה לכך שתחושת הצדק מתקוממת כנגד יישום פשטני של הוראות חוק יחסי ממון, למשל במקרים של פירוד ממושך, הימורים, הוצאת נכסים לטובת מעילה באמון (בגידה) ואלימות מסוימת.</w:t>
      </w:r>
    </w:p>
    <w:p w:rsidR="00431038" w:rsidRDefault="00431038" w:rsidP="00431038">
      <w:pPr>
        <w:pStyle w:val="aa"/>
        <w:spacing w:line="240" w:lineRule="auto"/>
        <w:jc w:val="both"/>
        <w:rPr>
          <w:rFonts w:ascii="David" w:hAnsi="David" w:cs="David"/>
          <w:b/>
          <w:bCs/>
          <w:sz w:val="24"/>
          <w:szCs w:val="24"/>
        </w:rPr>
      </w:pPr>
    </w:p>
    <w:p w:rsidR="00431038" w:rsidRDefault="00431038" w:rsidP="00431038">
      <w:pPr>
        <w:pStyle w:val="aa"/>
        <w:numPr>
          <w:ilvl w:val="0"/>
          <w:numId w:val="1"/>
        </w:numPr>
        <w:spacing w:line="360" w:lineRule="auto"/>
        <w:jc w:val="both"/>
        <w:rPr>
          <w:rFonts w:ascii="David" w:hAnsi="David" w:cs="David"/>
          <w:sz w:val="24"/>
          <w:szCs w:val="24"/>
        </w:rPr>
      </w:pPr>
      <w:r>
        <w:rPr>
          <w:rFonts w:ascii="David" w:hAnsi="David" w:cs="David"/>
          <w:sz w:val="24"/>
          <w:szCs w:val="24"/>
          <w:rtl/>
        </w:rPr>
        <w:t xml:space="preserve">עוד יפה לענייננו, פס"ד עמ"ש (מחוזי חיפה) 31035-09-16 </w:t>
      </w:r>
      <w:r>
        <w:rPr>
          <w:rFonts w:ascii="David" w:hAnsi="David" w:cs="David"/>
          <w:b/>
          <w:bCs/>
          <w:sz w:val="24"/>
          <w:szCs w:val="24"/>
          <w:rtl/>
        </w:rPr>
        <w:t>ש.ג נ' ד.ג</w:t>
      </w:r>
      <w:r>
        <w:rPr>
          <w:rFonts w:ascii="David" w:hAnsi="David" w:cs="David"/>
          <w:sz w:val="24"/>
          <w:szCs w:val="24"/>
          <w:rtl/>
        </w:rPr>
        <w:t xml:space="preserve"> (נבו 20.04.2017) המפרט את שלושת היסודות בעת ביצוע איזון המשאבים:</w:t>
      </w:r>
    </w:p>
    <w:p w:rsidR="00431038" w:rsidRDefault="00431038" w:rsidP="00431038">
      <w:pPr>
        <w:pStyle w:val="aa"/>
        <w:spacing w:line="360" w:lineRule="auto"/>
        <w:jc w:val="both"/>
        <w:rPr>
          <w:rFonts w:ascii="David" w:hAnsi="David" w:cs="David"/>
          <w:b/>
          <w:bCs/>
          <w:sz w:val="24"/>
          <w:szCs w:val="24"/>
        </w:rPr>
      </w:pPr>
      <w:r>
        <w:rPr>
          <w:rFonts w:ascii="David" w:hAnsi="David" w:cs="David"/>
          <w:b/>
          <w:bCs/>
          <w:sz w:val="24"/>
          <w:szCs w:val="24"/>
          <w:rtl/>
        </w:rPr>
        <w:t>"האחד – המדובר בבני זוג "שונים" במעמדם התעסוקתי, כך שאחד הוא בן זוג "ביתי" והאחר הוא בן הזוג "הקרייריסטי". ברכיב זה יהיה על בית המשפט לבחון את תרומתו וזיקתו (ישירה או עקיפה) של בן הזוג הביתי לכושר ההשתכרות של בן הזוג הקרייריסטי.</w:t>
      </w:r>
    </w:p>
    <w:p w:rsidR="00431038" w:rsidRDefault="00431038" w:rsidP="00431038">
      <w:pPr>
        <w:pStyle w:val="aa"/>
        <w:spacing w:line="360" w:lineRule="auto"/>
        <w:jc w:val="both"/>
        <w:rPr>
          <w:rFonts w:ascii="David" w:hAnsi="David" w:cs="David"/>
          <w:b/>
          <w:bCs/>
          <w:sz w:val="24"/>
          <w:szCs w:val="24"/>
        </w:rPr>
      </w:pPr>
      <w:r>
        <w:rPr>
          <w:rFonts w:ascii="David" w:hAnsi="David" w:cs="David"/>
          <w:b/>
          <w:bCs/>
          <w:sz w:val="24"/>
          <w:szCs w:val="24"/>
          <w:rtl/>
        </w:rPr>
        <w:t xml:space="preserve">השני – קיים פער דרמטי בכושר ההשתכרות בין בני-הזוג.  ...חישוב הפער יהיה על דרך האומדנא בלבד.  על מנת לעמוד על הפער, יהיה על בית המשפט לשקול בין היתר את </w:t>
      </w:r>
      <w:r>
        <w:rPr>
          <w:rFonts w:ascii="David" w:hAnsi="David" w:cs="David"/>
          <w:b/>
          <w:bCs/>
          <w:sz w:val="24"/>
          <w:szCs w:val="24"/>
          <w:rtl/>
        </w:rPr>
        <w:lastRenderedPageBreak/>
        <w:t>השיקולים הבאים: פערי השכר במבחן אובייקטיבי ופשוט, ההכשרה המקצועית, כישוריו האישיים של בן הזוג, השפעתו וזיקתו של כושר ההשתכרות שנצבר לפני הנישואין לכושר ההשתכרות שנצבר בתוך תקופת הנישואין, כושר השתכרות של בן-הזוג "שכיר" לעומת עצמאי במובן של הביטחון והאופק התעסוקתי, תוצאת איזון המשאבים החשבונאי, משמורת הילדים וחלוקת זמני השהייה של הילדים אצל כל אחד מההורים , תשלומי מזונות, יכולת השיקום של כל אחד מבני הזוג לאחר הגירושין ועוד.</w:t>
      </w:r>
    </w:p>
    <w:p w:rsidR="00431038" w:rsidRDefault="00431038" w:rsidP="00431038">
      <w:pPr>
        <w:pStyle w:val="aa"/>
        <w:spacing w:line="360" w:lineRule="auto"/>
        <w:jc w:val="both"/>
        <w:rPr>
          <w:rFonts w:ascii="David" w:hAnsi="David" w:cs="David"/>
          <w:b/>
          <w:bCs/>
          <w:sz w:val="24"/>
          <w:szCs w:val="24"/>
        </w:rPr>
      </w:pPr>
      <w:r>
        <w:rPr>
          <w:rFonts w:ascii="David" w:hAnsi="David" w:cs="David"/>
          <w:b/>
          <w:bCs/>
          <w:sz w:val="24"/>
          <w:szCs w:val="24"/>
          <w:rtl/>
        </w:rPr>
        <w:t>השלישי – המדובר בנישואין לאורך זמן."</w:t>
      </w:r>
    </w:p>
    <w:p w:rsidR="00431038" w:rsidRDefault="00431038" w:rsidP="00431038">
      <w:pPr>
        <w:spacing w:line="360" w:lineRule="auto"/>
        <w:jc w:val="both"/>
        <w:rPr>
          <w:rFonts w:ascii="David" w:hAnsi="David"/>
          <w:b/>
          <w:bCs/>
          <w:u w:val="single"/>
        </w:rPr>
      </w:pPr>
      <w:r>
        <w:rPr>
          <w:rFonts w:ascii="David" w:hAnsi="David"/>
          <w:b/>
          <w:bCs/>
          <w:u w:val="single"/>
          <w:rtl/>
        </w:rPr>
        <w:t xml:space="preserve">ומן הכלל אל הפרט: </w:t>
      </w:r>
    </w:p>
    <w:p w:rsidR="00431038" w:rsidRDefault="00431038" w:rsidP="00431038">
      <w:pPr>
        <w:pStyle w:val="aa"/>
        <w:spacing w:line="240" w:lineRule="auto"/>
        <w:jc w:val="both"/>
        <w:rPr>
          <w:rFonts w:ascii="David" w:hAnsi="David" w:cs="David"/>
          <w:sz w:val="24"/>
          <w:szCs w:val="24"/>
          <w:highlight w:val="yellow"/>
          <w:rtl/>
        </w:rPr>
      </w:pPr>
    </w:p>
    <w:p w:rsidR="00431038" w:rsidRDefault="00431038" w:rsidP="00C87C92">
      <w:pPr>
        <w:pStyle w:val="aa"/>
        <w:numPr>
          <w:ilvl w:val="0"/>
          <w:numId w:val="1"/>
        </w:numPr>
        <w:spacing w:line="360" w:lineRule="auto"/>
        <w:jc w:val="both"/>
        <w:rPr>
          <w:rFonts w:ascii="David" w:hAnsi="David" w:cs="David"/>
          <w:sz w:val="24"/>
          <w:szCs w:val="24"/>
          <w:rtl/>
        </w:rPr>
      </w:pPr>
      <w:r>
        <w:rPr>
          <w:rFonts w:ascii="David" w:hAnsi="David" w:cs="David"/>
          <w:sz w:val="24"/>
          <w:szCs w:val="24"/>
          <w:rtl/>
        </w:rPr>
        <w:t xml:space="preserve">מראיות שהובאו עולה שלשני הצדדים אין רכוש זולת המפורט בחוות הדעת. דירת המגורים שהייתה בבעלותם נמכרה ביום 10.3.20 ותמורתה חולקה מחצה על מחצה באופן בו כל צד קיבל סך של 577,000 ₪. כך גם שווי החברה הרשומה על שם הנתבע אוזן, בהתאם לקבוע בחוות הדעת. עוד עולה מחוות דעת המומחה שהחברה חולקה באופן בו אין בידיה כספים משמעותיים והחלק הארי משמש למשכורות (ראה חוו"ד השנייה, עמוד 19 ו- 21 ). מכאן, שאין פערים בהיקף הנכסים שבבעלות כל צד לאחר הפירוד. </w:t>
      </w:r>
    </w:p>
    <w:p w:rsidR="00431038" w:rsidRDefault="00431038" w:rsidP="00431038">
      <w:pPr>
        <w:pStyle w:val="aa"/>
        <w:rPr>
          <w:rFonts w:ascii="David" w:hAnsi="David" w:cs="David"/>
          <w:sz w:val="24"/>
          <w:szCs w:val="24"/>
          <w:rtl/>
        </w:rPr>
      </w:pPr>
    </w:p>
    <w:p w:rsidR="00431038" w:rsidRDefault="00431038" w:rsidP="00431038">
      <w:pPr>
        <w:pStyle w:val="aa"/>
        <w:numPr>
          <w:ilvl w:val="0"/>
          <w:numId w:val="1"/>
        </w:numPr>
        <w:spacing w:line="360" w:lineRule="auto"/>
        <w:jc w:val="both"/>
        <w:rPr>
          <w:rFonts w:ascii="David" w:hAnsi="David" w:cs="David"/>
          <w:sz w:val="28"/>
          <w:szCs w:val="28"/>
        </w:rPr>
      </w:pPr>
      <w:r>
        <w:rPr>
          <w:rFonts w:ascii="David" w:hAnsi="David" w:cs="David"/>
          <w:sz w:val="24"/>
          <w:szCs w:val="24"/>
          <w:rtl/>
        </w:rPr>
        <w:t>הצדדים היו נשואים כ- 18 שנה, מעדויותיהם עולה שהתובעת לא עבדה בעבודה סדירה, והייתה אמונה על טיפול הקטינים (ראו עדותה  בעמ' 23 לפרו' שו' 10-17, פר' מיום 2/5/22). הנתבע אישר בעדותו ובסיכומיו שהצדדים החליטו בהחלטה משותפת שכל עוד הילדים לא ישתלבו במסגרות, התובעת תישאר לטפל בהם ובמשק הבית בעוד הוא פרנס  את התא המשפחתי (ראה עדותו בעמ' 29 לפרו' שו' 1-4)</w:t>
      </w:r>
      <w:r>
        <w:rPr>
          <w:rFonts w:ascii="David" w:hAnsi="David" w:cs="David"/>
          <w:b/>
          <w:bCs/>
          <w:sz w:val="24"/>
          <w:szCs w:val="24"/>
          <w:rtl/>
        </w:rPr>
        <w:t>.</w:t>
      </w:r>
      <w:r>
        <w:rPr>
          <w:rFonts w:ascii="David" w:hAnsi="David" w:cs="David"/>
          <w:sz w:val="24"/>
          <w:szCs w:val="24"/>
          <w:rtl/>
        </w:rPr>
        <w:t xml:space="preserve"> בנסיבות אלה, מצאתי לדחות את טענתו לפיה התובעת נשארה בבית על מנת "להתבטל", ולא דאגה לילדים לארוחה חמה או למשק הבית, שכן אף בחקירתו הצהיר כי </w:t>
      </w:r>
      <w:r>
        <w:rPr>
          <w:rFonts w:ascii="David" w:hAnsi="David" w:cs="David"/>
          <w:b/>
          <w:bCs/>
          <w:sz w:val="24"/>
          <w:szCs w:val="24"/>
          <w:rtl/>
        </w:rPr>
        <w:t>"</w:t>
      </w:r>
      <w:r>
        <w:rPr>
          <w:rFonts w:ascii="FrankRuehl" w:hAnsi="FrankRuehl" w:cs="FrankRuehl"/>
          <w:b/>
          <w:bCs/>
          <w:sz w:val="24"/>
          <w:szCs w:val="24"/>
          <w:rtl/>
        </w:rPr>
        <w:t>אף פעם לא הכחשתי שהיא מטפלת בילדים. תמיד אמרתי שהיא אמא טובה גם היום"</w:t>
      </w:r>
      <w:r>
        <w:rPr>
          <w:rFonts w:ascii="FrankRuehl" w:hAnsi="FrankRuehl" w:cs="FrankRuehl"/>
          <w:sz w:val="24"/>
          <w:szCs w:val="24"/>
          <w:rtl/>
        </w:rPr>
        <w:t>.</w:t>
      </w:r>
      <w:r>
        <w:rPr>
          <w:rFonts w:ascii="David" w:hAnsi="David" w:cs="David"/>
          <w:sz w:val="24"/>
          <w:szCs w:val="24"/>
          <w:rtl/>
        </w:rPr>
        <w:t xml:space="preserve"> (עמ' 28 לפרו' שו' 30-31)</w:t>
      </w:r>
      <w:r>
        <w:rPr>
          <w:rFonts w:ascii="David" w:hAnsi="David" w:cs="David"/>
          <w:sz w:val="28"/>
          <w:szCs w:val="28"/>
          <w:rtl/>
        </w:rPr>
        <w:t>.</w:t>
      </w:r>
    </w:p>
    <w:p w:rsidR="00431038" w:rsidRDefault="00431038" w:rsidP="00431038">
      <w:pPr>
        <w:tabs>
          <w:tab w:val="left" w:pos="3562"/>
        </w:tabs>
        <w:jc w:val="both"/>
        <w:rPr>
          <w:rFonts w:ascii="David" w:hAnsi="David"/>
          <w:sz w:val="28"/>
          <w:szCs w:val="28"/>
        </w:rPr>
      </w:pPr>
      <w:r>
        <w:rPr>
          <w:rFonts w:ascii="David" w:hAnsi="David"/>
          <w:sz w:val="28"/>
          <w:szCs w:val="28"/>
          <w:rtl/>
        </w:rPr>
        <w:tab/>
      </w:r>
    </w:p>
    <w:p w:rsidR="00431038" w:rsidRDefault="00431038" w:rsidP="00431038">
      <w:pPr>
        <w:pStyle w:val="aa"/>
        <w:numPr>
          <w:ilvl w:val="0"/>
          <w:numId w:val="1"/>
        </w:numPr>
        <w:spacing w:line="360" w:lineRule="auto"/>
        <w:jc w:val="both"/>
        <w:rPr>
          <w:rFonts w:ascii="David" w:hAnsi="David" w:cs="David"/>
          <w:sz w:val="28"/>
          <w:szCs w:val="28"/>
          <w:rtl/>
        </w:rPr>
      </w:pPr>
      <w:r>
        <w:rPr>
          <w:rFonts w:ascii="David" w:hAnsi="David" w:cs="David"/>
          <w:sz w:val="24"/>
          <w:szCs w:val="24"/>
          <w:rtl/>
        </w:rPr>
        <w:t xml:space="preserve">הנה כי כן, התובעת הינה "בת זוג ביתית" באופן בו ויתרה על יציאתה לעבודה ופיתוח קריירה, לטובת הטיפול בתא המשפחתי, ועל מנת שהנתבע יוכל להגדיל את כושר השתכרותו לטובת התא המשפחתי כולו. נוכח כך, ובחלוף שנים רבות בהן לא השתלבה בשוק העבודה, בפרט בתחום הכשרתה, עד היום עובדת בעבודת מזדמנות (ראה לעניין זה עדותה בעמ' 23 לפרו' שו' 10-36). בהתאמה, הפער בהשתכרות הצדדים נובע מכך שהתובעת נטלה על עצמה ויתור משמעותי מבחינת ההתפתחות המקצועית והתמקדה במרחב הביתי, ובכך התאפשר לנתבע להשיא את כושר השתכרותו. אמנם, הצדדים הסכימו בניהם על התנהלות זו, ברם, בעטיה, בסופו של יום, קיים פער כלכלי. בנסיבות אלה, הרי שמתקיים התנאי הראשון לפיו קיים פער בכושר ההשתכרות  עם סיום הקשר הזוגי. כן, מתקיים התנאי השני בדבר נישואין לאורך זמן. </w:t>
      </w:r>
    </w:p>
    <w:p w:rsidR="00431038" w:rsidRDefault="00431038" w:rsidP="00431038">
      <w:pPr>
        <w:pStyle w:val="aa"/>
        <w:spacing w:line="240" w:lineRule="auto"/>
        <w:jc w:val="both"/>
        <w:rPr>
          <w:rFonts w:ascii="David" w:hAnsi="David" w:cs="David"/>
          <w:sz w:val="24"/>
          <w:szCs w:val="24"/>
        </w:rPr>
      </w:pPr>
    </w:p>
    <w:p w:rsidR="00431038" w:rsidRDefault="00431038" w:rsidP="00431038">
      <w:pPr>
        <w:pStyle w:val="aa"/>
        <w:numPr>
          <w:ilvl w:val="0"/>
          <w:numId w:val="1"/>
        </w:numPr>
        <w:spacing w:line="360" w:lineRule="auto"/>
        <w:jc w:val="both"/>
        <w:rPr>
          <w:rFonts w:ascii="David" w:hAnsi="David"/>
          <w:rtl/>
        </w:rPr>
      </w:pPr>
      <w:r>
        <w:rPr>
          <w:rFonts w:ascii="David" w:hAnsi="David" w:cs="David"/>
          <w:sz w:val="24"/>
          <w:szCs w:val="24"/>
          <w:rtl/>
        </w:rPr>
        <w:lastRenderedPageBreak/>
        <w:t>וחרף זאת, לאור קביעותי לעיל, לא מצאתי שהנסיבות עסקינן הינן בבחינת אותם מקרים חריגים בהם יש לעשות שימוש בחריג לכלל;  אמנם, בחישוב אריתמטי פשוט, לאור פוטנציאל ההשתכרות כפי שנפסק, קיים פער. ברם, בראי מכלול הנסיבות, ובכלל זה מכירת הדירה וחלוקת תמורתה באופן שווה, איזון שווי החברה, איזון זכויות סוציאלית ופסיקת תשלומי איזון,  לא מצאתי שהפער בכושר ההשתכרות בין בני-הזוג  דרמטי ומצדיק חלוקה בלתי שוויונית. כך גם במסגרת פסיקת פערי ההשתכרות, נלקחה בחשבון, בין היתר, העובדה שהתובעת שכירה והנתבע עצמאי, כישוריהם, גילם והכנסותיהם מכל מקור, לרבות תשלום המזונות, על פי חלוקה לתקופות. משכך</w:t>
      </w:r>
      <w:r>
        <w:rPr>
          <w:rFonts w:ascii="David" w:hAnsi="David"/>
          <w:rtl/>
        </w:rPr>
        <w:t xml:space="preserve">, </w:t>
      </w:r>
      <w:r>
        <w:rPr>
          <w:rFonts w:ascii="David" w:hAnsi="David" w:cs="David"/>
          <w:sz w:val="24"/>
          <w:szCs w:val="24"/>
          <w:rtl/>
        </w:rPr>
        <w:t xml:space="preserve">לא ניתן לקבל את טענת התובעת ולפיה יש לבצע חלוקה בלתי שיוונית מקום בו הנתבע היה המפרנס העיקרי בבית, שכן, קבלת טענה מעין כזו הופכת במקרים רבים את אופן החלוקה לפי סעיף 5(א) לחוק יחסי ממון לאות מתה ולפגיעה בוודאות, בעוד שהוראות סעיף 8(2) לחוק היו נוהגות על דרך הכלל; לא לכך כיוון המחוקק שכן אפשר שימוש בהוראות סעיף 8(2) לחוק כחריג לכלל. נטל ההוכחה המוטל על המבקש לסטות מחלוקה שוויונית הינו נטל כבד (ראו: בג"צ 6037/18 </w:t>
      </w:r>
      <w:r>
        <w:rPr>
          <w:rFonts w:ascii="David" w:hAnsi="David" w:cs="David"/>
          <w:b/>
          <w:bCs/>
          <w:sz w:val="24"/>
          <w:szCs w:val="24"/>
          <w:rtl/>
        </w:rPr>
        <w:t>פלונית נ' ביה"ד הרבני האזורי ת"א</w:t>
      </w:r>
      <w:r>
        <w:rPr>
          <w:rFonts w:ascii="David" w:hAnsi="David" w:cs="David"/>
          <w:sz w:val="24"/>
          <w:szCs w:val="24"/>
          <w:rtl/>
        </w:rPr>
        <w:t xml:space="preserve"> (18.2.2019), בע"מ 4699/08 </w:t>
      </w:r>
      <w:r>
        <w:rPr>
          <w:rFonts w:ascii="David" w:hAnsi="David" w:cs="David"/>
          <w:b/>
          <w:bCs/>
          <w:sz w:val="24"/>
          <w:szCs w:val="24"/>
          <w:rtl/>
        </w:rPr>
        <w:t>פלונית נ' פלוני</w:t>
      </w:r>
      <w:r>
        <w:rPr>
          <w:rFonts w:ascii="David" w:hAnsi="David" w:cs="David"/>
          <w:sz w:val="24"/>
          <w:szCs w:val="24"/>
          <w:rtl/>
        </w:rPr>
        <w:t xml:space="preserve"> (08.07.2008)).</w:t>
      </w:r>
    </w:p>
    <w:p w:rsidR="00431038" w:rsidRDefault="00431038" w:rsidP="00431038">
      <w:pPr>
        <w:pStyle w:val="aa"/>
        <w:rPr>
          <w:rFonts w:ascii="David" w:hAnsi="David" w:cs="David"/>
          <w:sz w:val="24"/>
          <w:szCs w:val="24"/>
        </w:rPr>
      </w:pPr>
    </w:p>
    <w:p w:rsidR="00431038" w:rsidRDefault="00431038" w:rsidP="00431038">
      <w:pPr>
        <w:pStyle w:val="aa"/>
        <w:numPr>
          <w:ilvl w:val="0"/>
          <w:numId w:val="1"/>
        </w:numPr>
        <w:spacing w:line="360" w:lineRule="auto"/>
        <w:jc w:val="both"/>
        <w:rPr>
          <w:rFonts w:ascii="David" w:hAnsi="David" w:cs="David"/>
          <w:sz w:val="24"/>
          <w:szCs w:val="24"/>
        </w:rPr>
      </w:pPr>
      <w:r>
        <w:rPr>
          <w:rFonts w:ascii="David" w:hAnsi="David" w:cs="David"/>
          <w:sz w:val="24"/>
          <w:szCs w:val="24"/>
          <w:rtl/>
        </w:rPr>
        <w:t xml:space="preserve">וחשוב מכך; מקום בו אוזנו פערי ההשתכרות, לתקופה כזו אחרת, דה- פקטו, נעשה שימוש בסעיף. מכאן, פיצוי נוסף, יביא למצב בו לא רק שהשימוש בסעיף לא נעשה במשורה, אלא גם באופן החורג מחלוקה צודקת. אפנה לעניין זה לדבריו של כבוד השופט סילמן בעמ"ש (חיפה) 5420-10-21, שם קבע: </w:t>
      </w:r>
    </w:p>
    <w:p w:rsidR="00431038" w:rsidRDefault="00431038" w:rsidP="00431038">
      <w:pPr>
        <w:spacing w:line="360" w:lineRule="auto"/>
        <w:ind w:left="624"/>
        <w:jc w:val="both"/>
        <w:rPr>
          <w:rFonts w:ascii="David" w:hAnsi="David"/>
          <w:b/>
          <w:bCs/>
        </w:rPr>
      </w:pPr>
      <w:r>
        <w:rPr>
          <w:rFonts w:ascii="David" w:hAnsi="David"/>
          <w:b/>
          <w:bCs/>
          <w:rtl/>
        </w:rPr>
        <w:t>"השימוש- עקרונית- סעיף 8(2) לחוק יחסי ממון אינו בגדר הכלל; הוא החריג לכלל; שימוש בו פוגע בוודאות המשפטית, ביכולת לחזות תוצאות הליך ומשכך להגיע להסכמים, ביכולת מתן ייעוץ ע"י באי כוח, ועוד.</w:t>
      </w:r>
    </w:p>
    <w:p w:rsidR="00431038" w:rsidRDefault="00431038" w:rsidP="00431038">
      <w:pPr>
        <w:pStyle w:val="aa"/>
        <w:spacing w:after="0" w:line="360" w:lineRule="auto"/>
        <w:ind w:left="624"/>
        <w:jc w:val="both"/>
        <w:rPr>
          <w:rFonts w:ascii="David" w:hAnsi="David" w:cs="David"/>
          <w:b/>
          <w:bCs/>
          <w:sz w:val="24"/>
          <w:szCs w:val="24"/>
          <w:rtl/>
        </w:rPr>
      </w:pPr>
      <w:r>
        <w:rPr>
          <w:rFonts w:ascii="David" w:hAnsi="David" w:cs="David"/>
          <w:b/>
          <w:bCs/>
          <w:sz w:val="24"/>
          <w:szCs w:val="24"/>
          <w:rtl/>
        </w:rPr>
        <w:t>על כן השימוש בסעיף 8(2) על פי הפסיקה, ראוי כי יעשה בנסיבות "מיוחדות" המצדיקות זאת, ו"במשורה"; כך על פי הפסיקה; ראה לעניין זה ע"מ (חי') 614/07.</w:t>
      </w:r>
    </w:p>
    <w:p w:rsidR="00431038" w:rsidRDefault="00431038" w:rsidP="00431038">
      <w:pPr>
        <w:pStyle w:val="aa"/>
        <w:spacing w:after="0" w:line="360" w:lineRule="auto"/>
        <w:ind w:left="624"/>
        <w:jc w:val="both"/>
        <w:rPr>
          <w:rFonts w:ascii="David" w:hAnsi="David" w:cs="David"/>
          <w:b/>
          <w:bCs/>
          <w:sz w:val="24"/>
          <w:szCs w:val="24"/>
        </w:rPr>
      </w:pPr>
      <w:r>
        <w:rPr>
          <w:rFonts w:ascii="David" w:hAnsi="David" w:cs="David"/>
          <w:b/>
          <w:bCs/>
          <w:sz w:val="24"/>
          <w:szCs w:val="24"/>
          <w:rtl/>
        </w:rPr>
        <w:t xml:space="preserve">מקל וחומר אמורים הדברים, מקום בו עובר לשימוש בסעיף, כבר אוזנו פערי השתכרות ולו לפרק זמן כזה או אחר. </w:t>
      </w:r>
    </w:p>
    <w:p w:rsidR="00431038" w:rsidRDefault="00431038" w:rsidP="00431038">
      <w:pPr>
        <w:pStyle w:val="P22"/>
        <w:tabs>
          <w:tab w:val="left" w:pos="624"/>
          <w:tab w:val="left" w:pos="1021"/>
        </w:tabs>
        <w:spacing w:before="72"/>
        <w:ind w:left="624" w:right="1134"/>
        <w:rPr>
          <w:rStyle w:val="default"/>
          <w:rFonts w:ascii="David" w:hAnsi="David" w:cs="David"/>
          <w:sz w:val="24"/>
          <w:szCs w:val="24"/>
        </w:rPr>
      </w:pPr>
      <w:r>
        <w:rPr>
          <w:rFonts w:ascii="David" w:hAnsi="David" w:cs="David"/>
          <w:b/>
          <w:bCs/>
          <w:sz w:val="24"/>
          <w:szCs w:val="24"/>
          <w:rtl/>
        </w:rPr>
        <w:t xml:space="preserve"> </w:t>
      </w:r>
      <w:r>
        <w:rPr>
          <w:rFonts w:ascii="David" w:hAnsi="David" w:cs="David" w:hint="cs"/>
          <w:b/>
          <w:bCs/>
          <w:sz w:val="24"/>
          <w:szCs w:val="24"/>
          <w:rtl/>
        </w:rPr>
        <w:t>סעיף 8(2) לחוק מאפשר לבית המשפט- "</w:t>
      </w:r>
      <w:r>
        <w:rPr>
          <w:rStyle w:val="default"/>
          <w:rFonts w:ascii="David" w:hAnsi="David" w:cs="David"/>
          <w:b/>
          <w:bCs/>
          <w:sz w:val="24"/>
          <w:szCs w:val="24"/>
          <w:rtl/>
        </w:rPr>
        <w:t>לקבוע שאיזון שווי הנכסים, כולם או    מקצתם, לא יהיה מחצה על מחצה, אלא לפי יחס אחר שיקבע בהתחשב, בין השאר, בנכסים עתידיים, לרבות בכושר ההשתכרות של כל אחד מבני הזוג".</w:t>
      </w:r>
    </w:p>
    <w:p w:rsidR="00431038" w:rsidRDefault="00431038" w:rsidP="00431038">
      <w:pPr>
        <w:spacing w:line="360" w:lineRule="auto"/>
        <w:ind w:left="624"/>
        <w:jc w:val="both"/>
      </w:pPr>
      <w:r>
        <w:rPr>
          <w:rFonts w:ascii="David" w:hAnsi="David"/>
          <w:b/>
          <w:bCs/>
          <w:rtl/>
        </w:rPr>
        <w:t>אלא שכאן כאמור  כבר נעשתה התחשבות בכושר ההשתכרות ולו לתקופת מה; יוצא כי לא רק שהשימוש לא נעשה במשורה, מבחינה עקרונית, אלא בנדיר שבנדיר- לאחר איזון (ולו חלקי) של פערי ההשתכרות</w:t>
      </w:r>
      <w:r>
        <w:rPr>
          <w:rFonts w:ascii="David" w:hAnsi="David"/>
          <w:rtl/>
        </w:rPr>
        <w:t>."  (ההדגשה אינה במקור. ל.ד-ח)</w:t>
      </w:r>
    </w:p>
    <w:p w:rsidR="00431038" w:rsidRDefault="00431038" w:rsidP="00431038">
      <w:pPr>
        <w:pStyle w:val="aa"/>
        <w:rPr>
          <w:rFonts w:ascii="David" w:hAnsi="David" w:cs="David"/>
          <w:sz w:val="24"/>
          <w:szCs w:val="24"/>
        </w:rPr>
      </w:pPr>
    </w:p>
    <w:p w:rsidR="00431038" w:rsidRDefault="00431038" w:rsidP="00431038">
      <w:pPr>
        <w:pStyle w:val="aa"/>
        <w:numPr>
          <w:ilvl w:val="0"/>
          <w:numId w:val="1"/>
        </w:numPr>
        <w:spacing w:line="360" w:lineRule="auto"/>
        <w:jc w:val="both"/>
        <w:rPr>
          <w:rFonts w:ascii="David" w:hAnsi="David" w:cs="David"/>
          <w:sz w:val="28"/>
          <w:szCs w:val="28"/>
        </w:rPr>
      </w:pPr>
      <w:r>
        <w:rPr>
          <w:rFonts w:ascii="David" w:hAnsi="David" w:cs="David"/>
          <w:sz w:val="24"/>
          <w:szCs w:val="24"/>
          <w:rtl/>
        </w:rPr>
        <w:t>לאור כל האמור לעיל, מצאתי לדחות את טענות התובעת בדבר חלוקה בלתי שוויונית.</w:t>
      </w:r>
    </w:p>
    <w:p w:rsidR="00C87C92" w:rsidRDefault="00C87C92" w:rsidP="00C87C92">
      <w:pPr>
        <w:pStyle w:val="aa"/>
        <w:spacing w:line="360" w:lineRule="auto"/>
        <w:ind w:left="360"/>
        <w:jc w:val="both"/>
        <w:rPr>
          <w:rFonts w:ascii="David" w:hAnsi="David" w:cs="David"/>
          <w:sz w:val="28"/>
          <w:szCs w:val="28"/>
        </w:rPr>
      </w:pPr>
    </w:p>
    <w:p w:rsidR="00431038" w:rsidRDefault="00431038" w:rsidP="00431038">
      <w:pPr>
        <w:rPr>
          <w:rFonts w:ascii="David" w:hAnsi="David"/>
          <w:b/>
          <w:bCs/>
          <w:sz w:val="28"/>
          <w:szCs w:val="28"/>
          <w:u w:val="single"/>
          <w:rtl/>
        </w:rPr>
      </w:pPr>
      <w:r>
        <w:rPr>
          <w:rFonts w:ascii="David" w:hAnsi="David"/>
          <w:b/>
          <w:bCs/>
          <w:sz w:val="28"/>
          <w:szCs w:val="28"/>
          <w:highlight w:val="lightGray"/>
          <w:u w:val="single"/>
          <w:rtl/>
        </w:rPr>
        <w:lastRenderedPageBreak/>
        <w:t>סוף דבר;</w:t>
      </w:r>
    </w:p>
    <w:p w:rsidR="00431038" w:rsidRDefault="00431038" w:rsidP="00431038">
      <w:pPr>
        <w:rPr>
          <w:rFonts w:ascii="David" w:hAnsi="David"/>
          <w:b/>
          <w:bCs/>
          <w:sz w:val="28"/>
          <w:szCs w:val="28"/>
          <w:u w:val="single"/>
          <w:rtl/>
        </w:rPr>
      </w:pPr>
    </w:p>
    <w:p w:rsidR="00431038" w:rsidRDefault="00431038" w:rsidP="00431038">
      <w:pPr>
        <w:pStyle w:val="aa"/>
        <w:numPr>
          <w:ilvl w:val="0"/>
          <w:numId w:val="1"/>
        </w:numPr>
        <w:shd w:val="clear" w:color="auto" w:fill="FFFFFF"/>
        <w:spacing w:line="360" w:lineRule="auto"/>
        <w:jc w:val="both"/>
        <w:rPr>
          <w:rFonts w:ascii="David" w:hAnsi="David" w:cs="David"/>
          <w:sz w:val="24"/>
          <w:szCs w:val="24"/>
          <w:rtl/>
        </w:rPr>
      </w:pPr>
      <w:r>
        <w:rPr>
          <w:rFonts w:ascii="David" w:hAnsi="David" w:cs="David"/>
          <w:sz w:val="24"/>
          <w:szCs w:val="24"/>
          <w:rtl/>
        </w:rPr>
        <w:t>אני קובעת שהכספים שנתקבלו בידי התובעת, אינם ברי איזון, וכלל טענות הנתבע לעניין זה, נדחות.</w:t>
      </w:r>
    </w:p>
    <w:p w:rsidR="00431038" w:rsidRDefault="00431038" w:rsidP="00431038">
      <w:pPr>
        <w:pStyle w:val="aa"/>
        <w:shd w:val="clear" w:color="auto" w:fill="FFFFFF"/>
        <w:spacing w:line="240" w:lineRule="auto"/>
        <w:ind w:left="360"/>
        <w:jc w:val="both"/>
        <w:rPr>
          <w:rFonts w:ascii="David" w:hAnsi="David" w:cs="David"/>
          <w:sz w:val="24"/>
          <w:szCs w:val="24"/>
          <w:rtl/>
        </w:rPr>
      </w:pPr>
    </w:p>
    <w:p w:rsidR="00431038" w:rsidRDefault="00431038" w:rsidP="00431038">
      <w:pPr>
        <w:pStyle w:val="aa"/>
        <w:numPr>
          <w:ilvl w:val="0"/>
          <w:numId w:val="1"/>
        </w:numPr>
        <w:shd w:val="clear" w:color="auto" w:fill="FFFFFF"/>
        <w:spacing w:line="360" w:lineRule="auto"/>
        <w:jc w:val="both"/>
        <w:rPr>
          <w:rFonts w:ascii="David" w:hAnsi="David" w:cs="David"/>
          <w:sz w:val="24"/>
          <w:szCs w:val="24"/>
          <w:rtl/>
        </w:rPr>
      </w:pPr>
      <w:r>
        <w:rPr>
          <w:rFonts w:ascii="David" w:hAnsi="David" w:cs="David"/>
          <w:sz w:val="24"/>
          <w:szCs w:val="24"/>
          <w:rtl/>
        </w:rPr>
        <w:t xml:space="preserve">אני מאשרת את חוות דעת האקטואר מיום 15.10.20 ונותנת לה תוקף של פס"ד. בהתאם לכך, הנני  מורה כדלקמן: </w:t>
      </w:r>
    </w:p>
    <w:p w:rsidR="00431038" w:rsidRDefault="00431038" w:rsidP="00431038">
      <w:pPr>
        <w:pStyle w:val="aa"/>
        <w:numPr>
          <w:ilvl w:val="0"/>
          <w:numId w:val="9"/>
        </w:numPr>
        <w:shd w:val="clear" w:color="auto" w:fill="FFFFFF"/>
        <w:spacing w:line="360" w:lineRule="auto"/>
        <w:jc w:val="both"/>
        <w:rPr>
          <w:rFonts w:ascii="David" w:hAnsi="David" w:cs="David"/>
          <w:sz w:val="24"/>
          <w:szCs w:val="24"/>
        </w:rPr>
      </w:pPr>
      <w:r>
        <w:rPr>
          <w:rFonts w:ascii="David" w:hAnsi="David" w:cs="David"/>
          <w:sz w:val="24"/>
          <w:szCs w:val="24"/>
          <w:rtl/>
        </w:rPr>
        <w:t xml:space="preserve">חלוקת הזכויות הפנסיוניות, תבוצע כקבוע בחלופה השנייה, ובהתאם לפסיקתות שנחתמו.  </w:t>
      </w:r>
    </w:p>
    <w:p w:rsidR="00431038" w:rsidRDefault="00431038" w:rsidP="00431038">
      <w:pPr>
        <w:pStyle w:val="aa"/>
        <w:numPr>
          <w:ilvl w:val="0"/>
          <w:numId w:val="9"/>
        </w:numPr>
        <w:shd w:val="clear" w:color="auto" w:fill="FFFFFF"/>
        <w:spacing w:line="360" w:lineRule="auto"/>
        <w:jc w:val="both"/>
        <w:rPr>
          <w:rFonts w:ascii="David" w:hAnsi="David" w:cs="David"/>
          <w:sz w:val="24"/>
          <w:szCs w:val="24"/>
        </w:rPr>
      </w:pPr>
      <w:r>
        <w:rPr>
          <w:rFonts w:ascii="David" w:hAnsi="David" w:cs="David"/>
          <w:sz w:val="24"/>
          <w:szCs w:val="24"/>
          <w:rtl/>
        </w:rPr>
        <w:t>אני קובעת את חלקה של התובעת בשווי עסקו של הנתבע בסך  43,079  ₪; על הנתבע לשלם לידיה סך זה וזאת תוך 30 ימים כשהוא נשוא הפרשי הצמדה על פי דין החל מיום מתן חוות הדעת (15.10.20) ועד ליום התשלום המלא בפועל.</w:t>
      </w:r>
    </w:p>
    <w:p w:rsidR="00431038" w:rsidRDefault="00431038" w:rsidP="00431038">
      <w:pPr>
        <w:pStyle w:val="aa"/>
        <w:numPr>
          <w:ilvl w:val="0"/>
          <w:numId w:val="9"/>
        </w:numPr>
        <w:shd w:val="clear" w:color="auto" w:fill="FFFFFF"/>
        <w:spacing w:line="360" w:lineRule="auto"/>
        <w:jc w:val="both"/>
        <w:rPr>
          <w:rFonts w:ascii="David" w:hAnsi="David" w:cs="David"/>
          <w:sz w:val="24"/>
          <w:szCs w:val="24"/>
        </w:rPr>
      </w:pPr>
      <w:r>
        <w:rPr>
          <w:rFonts w:ascii="David" w:hAnsi="David" w:cs="David"/>
          <w:sz w:val="24"/>
          <w:szCs w:val="24"/>
          <w:rtl/>
        </w:rPr>
        <w:t xml:space="preserve">האקטואר יפעל לתיקון חוות הדעת כאמור בסעיף 37 ו- 39 לפס"ד;  בשכרו, ככל ויחול, יישאו הצדדים בחלקים שווים. </w:t>
      </w:r>
    </w:p>
    <w:p w:rsidR="00431038" w:rsidRDefault="00431038" w:rsidP="00431038">
      <w:pPr>
        <w:pStyle w:val="aa"/>
        <w:shd w:val="clear" w:color="auto" w:fill="FFFFFF"/>
        <w:spacing w:line="360" w:lineRule="auto"/>
        <w:jc w:val="both"/>
        <w:rPr>
          <w:rFonts w:ascii="David" w:hAnsi="David" w:cs="David"/>
          <w:sz w:val="24"/>
          <w:szCs w:val="24"/>
        </w:rPr>
      </w:pPr>
    </w:p>
    <w:p w:rsidR="00431038" w:rsidRDefault="00431038" w:rsidP="00431038">
      <w:pPr>
        <w:numPr>
          <w:ilvl w:val="0"/>
          <w:numId w:val="1"/>
        </w:numPr>
        <w:shd w:val="clear" w:color="auto" w:fill="FFFFFF"/>
        <w:spacing w:after="160" w:line="360" w:lineRule="auto"/>
        <w:contextualSpacing/>
        <w:jc w:val="both"/>
        <w:rPr>
          <w:rFonts w:ascii="David" w:hAnsi="David"/>
        </w:rPr>
      </w:pPr>
      <w:r>
        <w:rPr>
          <w:rFonts w:ascii="David" w:hAnsi="David"/>
          <w:rtl/>
        </w:rPr>
        <w:t xml:space="preserve">טענות התובעת לעניין חלוקה בלתי שווינית, בהתאם לסעיף 8(2) לחוק, נדחות במלואן. </w:t>
      </w:r>
    </w:p>
    <w:p w:rsidR="00431038" w:rsidRDefault="00431038" w:rsidP="00431038">
      <w:pPr>
        <w:shd w:val="clear" w:color="auto" w:fill="FFFFFF"/>
        <w:spacing w:after="160"/>
        <w:ind w:left="360"/>
        <w:contextualSpacing/>
        <w:jc w:val="both"/>
        <w:rPr>
          <w:rFonts w:ascii="David" w:hAnsi="David"/>
        </w:rPr>
      </w:pPr>
    </w:p>
    <w:p w:rsidR="00431038" w:rsidRDefault="00431038" w:rsidP="00431038">
      <w:pPr>
        <w:numPr>
          <w:ilvl w:val="0"/>
          <w:numId w:val="1"/>
        </w:numPr>
        <w:shd w:val="clear" w:color="auto" w:fill="FFFFFF"/>
        <w:spacing w:after="160" w:line="360" w:lineRule="auto"/>
        <w:contextualSpacing/>
        <w:jc w:val="both"/>
        <w:rPr>
          <w:rFonts w:ascii="David" w:hAnsi="David"/>
        </w:rPr>
      </w:pPr>
      <w:r>
        <w:rPr>
          <w:rFonts w:ascii="David" w:hAnsi="David"/>
          <w:rtl/>
        </w:rPr>
        <w:t xml:space="preserve">מחלקה של התובעת בכספים הקבועים בחוות הדעת, יקוזז חלקו של הנתבע בעבור שווי הרכב (7,500 ₪), כמפורט בסעיף 7 לעיל.  </w:t>
      </w:r>
    </w:p>
    <w:p w:rsidR="00431038" w:rsidRDefault="00431038" w:rsidP="00431038">
      <w:pPr>
        <w:shd w:val="clear" w:color="auto" w:fill="FFFFFF"/>
        <w:spacing w:after="160"/>
        <w:contextualSpacing/>
        <w:jc w:val="both"/>
        <w:rPr>
          <w:rFonts w:ascii="David" w:hAnsi="David"/>
        </w:rPr>
      </w:pPr>
    </w:p>
    <w:p w:rsidR="00431038" w:rsidRDefault="00431038" w:rsidP="00431038">
      <w:pPr>
        <w:numPr>
          <w:ilvl w:val="0"/>
          <w:numId w:val="1"/>
        </w:numPr>
        <w:shd w:val="clear" w:color="auto" w:fill="FFFFFF"/>
        <w:spacing w:after="160" w:line="360" w:lineRule="auto"/>
        <w:contextualSpacing/>
        <w:jc w:val="both"/>
        <w:rPr>
          <w:rFonts w:ascii="David" w:hAnsi="David"/>
        </w:rPr>
      </w:pPr>
      <w:r>
        <w:rPr>
          <w:rFonts w:ascii="David" w:hAnsi="David"/>
          <w:rtl/>
        </w:rPr>
        <w:t xml:space="preserve">פסק הדין ניתן לביצוע בלשכת הוצאה לפועל. </w:t>
      </w:r>
    </w:p>
    <w:p w:rsidR="00431038" w:rsidRDefault="00431038" w:rsidP="00431038">
      <w:pPr>
        <w:shd w:val="clear" w:color="auto" w:fill="FFFFFF"/>
        <w:ind w:left="360"/>
        <w:contextualSpacing/>
        <w:jc w:val="both"/>
        <w:rPr>
          <w:rFonts w:ascii="David" w:hAnsi="David"/>
        </w:rPr>
      </w:pPr>
    </w:p>
    <w:p w:rsidR="00431038" w:rsidRDefault="00431038" w:rsidP="00431038">
      <w:pPr>
        <w:numPr>
          <w:ilvl w:val="0"/>
          <w:numId w:val="1"/>
        </w:numPr>
        <w:spacing w:line="360" w:lineRule="auto"/>
        <w:contextualSpacing/>
        <w:jc w:val="both"/>
        <w:rPr>
          <w:rFonts w:ascii="David" w:hAnsi="David"/>
        </w:rPr>
      </w:pPr>
      <w:r>
        <w:rPr>
          <w:rFonts w:ascii="David" w:hAnsi="David"/>
          <w:rtl/>
        </w:rPr>
        <w:t>לאחר שנתתי דעתי להליכים לפניי, אני מחייבת את הנתבע בהוצאות לטובת התובעת בסך 5,000 ₪. הסכום ישולם תוך 30 ימים שאם לא כן תוכל התובעת לפעול לגבייתו בלשכת הוצאה לפועל, תוך שהסכום יישא הפרשי ריבית והצמדה על פי כל דין, החל מהיום ועד ליום התשלום המלא בפועל.</w:t>
      </w:r>
    </w:p>
    <w:p w:rsidR="00431038" w:rsidRDefault="00431038" w:rsidP="00431038">
      <w:pPr>
        <w:spacing w:line="360" w:lineRule="auto"/>
        <w:jc w:val="both"/>
        <w:rPr>
          <w:rFonts w:ascii="David" w:hAnsi="David"/>
          <w:rtl/>
        </w:rPr>
      </w:pPr>
    </w:p>
    <w:p w:rsidR="00431038" w:rsidRDefault="00431038" w:rsidP="00431038">
      <w:pPr>
        <w:jc w:val="both"/>
        <w:rPr>
          <w:rFonts w:ascii="David" w:hAnsi="David"/>
          <w:rtl/>
        </w:rPr>
      </w:pPr>
    </w:p>
    <w:p w:rsidR="00431038" w:rsidRDefault="00431038" w:rsidP="00431038">
      <w:pPr>
        <w:spacing w:line="360" w:lineRule="auto"/>
        <w:jc w:val="both"/>
        <w:rPr>
          <w:rFonts w:ascii="David" w:hAnsi="David"/>
          <w:u w:val="single"/>
        </w:rPr>
      </w:pPr>
      <w:r>
        <w:rPr>
          <w:rFonts w:ascii="David" w:hAnsi="David"/>
          <w:u w:val="single"/>
          <w:rtl/>
        </w:rPr>
        <w:t>בזאת תמו כלל המחלוקות לפניי.</w:t>
      </w:r>
    </w:p>
    <w:p w:rsidR="00431038" w:rsidRDefault="00431038" w:rsidP="00431038">
      <w:pPr>
        <w:spacing w:line="360" w:lineRule="auto"/>
        <w:jc w:val="both"/>
        <w:rPr>
          <w:rFonts w:ascii="David" w:hAnsi="David"/>
          <w:rtl/>
        </w:rPr>
      </w:pPr>
    </w:p>
    <w:p w:rsidR="00C87C92" w:rsidRPr="00C87C92" w:rsidRDefault="00C87C92" w:rsidP="00431038">
      <w:pPr>
        <w:spacing w:line="360" w:lineRule="auto"/>
        <w:jc w:val="both"/>
        <w:rPr>
          <w:rFonts w:ascii="David" w:hAnsi="David"/>
          <w:b/>
          <w:bCs/>
          <w:rtl/>
        </w:rPr>
      </w:pPr>
      <w:r w:rsidRPr="00C87C92">
        <w:rPr>
          <w:rFonts w:ascii="David" w:hAnsi="David" w:hint="cs"/>
          <w:b/>
          <w:bCs/>
          <w:rtl/>
        </w:rPr>
        <w:t xml:space="preserve">פסק הדין ניתן לפרסום. </w:t>
      </w:r>
    </w:p>
    <w:p w:rsidR="00C87C92" w:rsidRDefault="00C87C92" w:rsidP="00431038">
      <w:pPr>
        <w:spacing w:line="360" w:lineRule="auto"/>
        <w:jc w:val="both"/>
        <w:rPr>
          <w:rFonts w:ascii="David" w:hAnsi="David"/>
          <w:rtl/>
        </w:rPr>
      </w:pPr>
    </w:p>
    <w:p w:rsidR="00C87C92" w:rsidRDefault="00C87C92" w:rsidP="00431038">
      <w:pPr>
        <w:spacing w:line="360" w:lineRule="auto"/>
        <w:jc w:val="both"/>
        <w:rPr>
          <w:rFonts w:ascii="David" w:hAnsi="David"/>
          <w:rtl/>
        </w:rPr>
      </w:pPr>
    </w:p>
    <w:p w:rsidR="00C87C92" w:rsidRDefault="00C87C92" w:rsidP="00431038">
      <w:pPr>
        <w:spacing w:line="360" w:lineRule="auto"/>
        <w:jc w:val="both"/>
        <w:rPr>
          <w:rFonts w:ascii="David" w:hAnsi="David"/>
          <w:rtl/>
        </w:rPr>
      </w:pPr>
    </w:p>
    <w:p w:rsidR="00C87C92" w:rsidRDefault="00C87C92" w:rsidP="00431038">
      <w:pPr>
        <w:spacing w:line="360" w:lineRule="auto"/>
        <w:jc w:val="both"/>
        <w:rPr>
          <w:rFonts w:ascii="David" w:hAnsi="David"/>
          <w:rtl/>
        </w:rPr>
      </w:pPr>
    </w:p>
    <w:p w:rsidR="00C87C92" w:rsidRDefault="00C87C92" w:rsidP="00431038">
      <w:pPr>
        <w:spacing w:line="360" w:lineRule="auto"/>
        <w:jc w:val="both"/>
        <w:rPr>
          <w:rFonts w:ascii="David" w:hAnsi="David"/>
          <w:rtl/>
        </w:rPr>
      </w:pPr>
    </w:p>
    <w:p w:rsidR="00C87C92" w:rsidRDefault="00C87C92" w:rsidP="00431038">
      <w:pPr>
        <w:spacing w:line="360" w:lineRule="auto"/>
        <w:jc w:val="both"/>
        <w:rPr>
          <w:rFonts w:ascii="David" w:hAnsi="David"/>
          <w:rtl/>
        </w:rPr>
      </w:pPr>
    </w:p>
    <w:p w:rsidR="00C87C92" w:rsidRDefault="00C87C92" w:rsidP="00431038">
      <w:pPr>
        <w:spacing w:line="360" w:lineRule="auto"/>
        <w:jc w:val="both"/>
        <w:rPr>
          <w:rFonts w:ascii="David" w:hAnsi="David"/>
        </w:rPr>
      </w:pPr>
    </w:p>
    <w:p w:rsidR="00431038" w:rsidRDefault="00431038" w:rsidP="00431038">
      <w:pPr>
        <w:spacing w:line="360" w:lineRule="auto"/>
        <w:jc w:val="both"/>
        <w:rPr>
          <w:rFonts w:ascii="David" w:hAnsi="David"/>
        </w:rPr>
      </w:pPr>
      <w:r>
        <w:rPr>
          <w:rFonts w:ascii="David" w:hAnsi="David"/>
          <w:b/>
          <w:bCs/>
          <w:u w:val="single"/>
          <w:rtl/>
        </w:rPr>
        <w:lastRenderedPageBreak/>
        <w:t>המזכירות</w:t>
      </w:r>
      <w:r>
        <w:rPr>
          <w:rFonts w:ascii="David" w:hAnsi="David"/>
          <w:rtl/>
        </w:rPr>
        <w:t xml:space="preserve"> תמציא פס"ד לצדדים ותסגור את התיקים. </w:t>
      </w:r>
    </w:p>
    <w:p w:rsidR="00431038" w:rsidRDefault="00431038" w:rsidP="00431038">
      <w:pPr>
        <w:jc w:val="both"/>
        <w:rPr>
          <w:rFonts w:ascii="Arial" w:hAnsi="Arial"/>
          <w:noProof w:val="0"/>
          <w:rtl/>
        </w:rPr>
      </w:pPr>
    </w:p>
    <w:p w:rsidR="00431038" w:rsidRPr="00C87C92" w:rsidRDefault="00431038" w:rsidP="00431038">
      <w:pPr>
        <w:spacing w:line="360" w:lineRule="auto"/>
        <w:jc w:val="both"/>
        <w:rPr>
          <w:rFonts w:ascii="Arial" w:hAnsi="Arial"/>
          <w:b/>
          <w:bCs/>
          <w:noProof w:val="0"/>
          <w:rtl/>
        </w:rPr>
      </w:pPr>
      <w:r w:rsidRPr="00C87C92">
        <w:rPr>
          <w:rFonts w:ascii="Arial" w:hAnsi="Arial"/>
          <w:b/>
          <w:bCs/>
          <w:noProof w:val="0"/>
          <w:rtl/>
        </w:rPr>
        <w:t xml:space="preserve">ניתן היום,  </w:t>
      </w:r>
      <w:sdt>
        <w:sdtPr>
          <w:rPr>
            <w:b/>
            <w:bCs/>
            <w:rtl/>
          </w:rPr>
          <w:alias w:val="1455"/>
          <w:tag w:val="1455"/>
          <w:id w:val="242217728"/>
          <w:text w:multiLine="1"/>
        </w:sdtPr>
        <w:sdtEndPr/>
        <w:sdtContent>
          <w:r w:rsidRPr="00C87C92">
            <w:rPr>
              <w:rFonts w:ascii="Arial" w:hAnsi="Arial"/>
              <w:b/>
              <w:bCs/>
              <w:noProof w:val="0"/>
              <w:rtl/>
            </w:rPr>
            <w:t>א' תמוז תשפ"ג</w:t>
          </w:r>
        </w:sdtContent>
      </w:sdt>
      <w:r w:rsidRPr="00C87C92">
        <w:rPr>
          <w:rFonts w:ascii="Arial" w:hAnsi="Arial"/>
          <w:b/>
          <w:bCs/>
          <w:noProof w:val="0"/>
          <w:rtl/>
        </w:rPr>
        <w:t xml:space="preserve">, </w:t>
      </w:r>
      <w:sdt>
        <w:sdtPr>
          <w:rPr>
            <w:b/>
            <w:bCs/>
            <w:rtl/>
          </w:rPr>
          <w:alias w:val="1456"/>
          <w:tag w:val="1456"/>
          <w:id w:val="-1101635932"/>
          <w:text w:multiLine="1"/>
        </w:sdtPr>
        <w:sdtEndPr/>
        <w:sdtContent>
          <w:r w:rsidRPr="00C87C92">
            <w:rPr>
              <w:rFonts w:ascii="Arial" w:hAnsi="Arial"/>
              <w:b/>
              <w:bCs/>
              <w:noProof w:val="0"/>
              <w:rtl/>
            </w:rPr>
            <w:t>20 יוני 2023</w:t>
          </w:r>
        </w:sdtContent>
      </w:sdt>
      <w:r w:rsidRPr="00C87C92">
        <w:rPr>
          <w:rFonts w:ascii="Arial" w:hAnsi="Arial"/>
          <w:b/>
          <w:bCs/>
          <w:noProof w:val="0"/>
          <w:rtl/>
        </w:rPr>
        <w:t>, בהעדר הצדדים.</w:t>
      </w:r>
    </w:p>
    <w:p w:rsidR="00431038" w:rsidRDefault="00431038" w:rsidP="00431038">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F6BD11F27E36478F98FE9A02AED83434"/>
          </w:placeholder>
          <w:showingPlcHdr/>
          <w:text w:multiLine="1"/>
        </w:sdtPr>
        <w:sdtEndPr/>
        <w:sdtContent/>
      </w:sdt>
      <w:r>
        <w:rPr>
          <w:rFonts w:ascii="Arial" w:hAnsi="Arial"/>
          <w:noProof w:val="0"/>
          <w:rtl/>
        </w:rPr>
        <w:tab/>
      </w:r>
      <w:r>
        <w:rPr>
          <w:rFonts w:ascii="Arial" w:hAnsi="Arial"/>
          <w:noProof w:val="0"/>
          <w:rtl/>
        </w:rPr>
        <w:tab/>
        <w:t xml:space="preserve"> </w:t>
      </w:r>
    </w:p>
    <w:p w:rsidR="00431038" w:rsidRDefault="00CA2E6F" w:rsidP="00431038">
      <w:pPr>
        <w:spacing w:line="360" w:lineRule="auto"/>
        <w:ind w:left="3600" w:firstLine="720"/>
        <w:rPr>
          <w:rtl/>
        </w:rPr>
      </w:pPr>
      <w:sdt>
        <w:sdtPr>
          <w:rPr>
            <w:rtl/>
          </w:rPr>
          <w:alias w:val="MergeField"/>
          <w:tag w:val="1237"/>
          <w:id w:val="2039384489"/>
        </w:sdtPr>
        <w:sdtEndPr/>
        <w:sdtContent>
          <w:r w:rsidR="00431038">
            <w:drawing>
              <wp:inline distT="0" distB="0" distL="0" distR="0">
                <wp:extent cx="1330960" cy="839470"/>
                <wp:effectExtent l="0" t="0" r="254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30960" cy="839470"/>
                        </a:xfrm>
                        <a:prstGeom prst="rect">
                          <a:avLst/>
                        </a:prstGeom>
                        <a:noFill/>
                        <a:ln>
                          <a:noFill/>
                        </a:ln>
                      </pic:spPr>
                    </pic:pic>
                  </a:graphicData>
                </a:graphic>
              </wp:inline>
            </w:drawing>
          </w:r>
        </w:sdtContent>
      </w:sdt>
    </w:p>
    <w:p w:rsidR="00431038" w:rsidRDefault="00431038" w:rsidP="00431038">
      <w:pPr>
        <w:spacing w:line="360" w:lineRule="auto"/>
        <w:ind w:left="3600" w:firstLine="720"/>
        <w:rPr>
          <w:rFonts w:ascii="Arial" w:hAnsi="Arial"/>
          <w:noProof w:val="0"/>
        </w:rPr>
      </w:pPr>
    </w:p>
    <w:p w:rsidR="00431038" w:rsidRDefault="00431038" w:rsidP="00431038">
      <w:pPr>
        <w:spacing w:line="360" w:lineRule="auto"/>
        <w:jc w:val="both"/>
        <w:rPr>
          <w:rFonts w:ascii="Arial" w:hAnsi="Arial"/>
          <w:noProof w:val="0"/>
          <w:rtl/>
        </w:rPr>
      </w:pPr>
    </w:p>
    <w:p w:rsidR="00431038" w:rsidRDefault="00431038" w:rsidP="00431038">
      <w:pPr>
        <w:spacing w:line="360" w:lineRule="auto"/>
        <w:jc w:val="both"/>
        <w:rPr>
          <w:rFonts w:ascii="Arial" w:hAnsi="Arial"/>
          <w:noProof w:val="0"/>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pPr>
        <w:rPr>
          <w:rtl/>
        </w:rPr>
      </w:pPr>
    </w:p>
    <w:p w:rsidR="002A5C78" w:rsidRDefault="002A5C78"/>
    <w:sectPr w:rsidR="002A5C78" w:rsidSect="002A5C78">
      <w:headerReference w:type="even" r:id="rId16"/>
      <w:headerReference w:type="default" r:id="rId17"/>
      <w:footerReference w:type="even" r:id="rId18"/>
      <w:footerReference w:type="default" r:id="rId19"/>
      <w:headerReference w:type="first" r:id="rId20"/>
      <w:footerReference w:type="first" r:id="rId21"/>
      <w:pgSz w:w="11906" w:h="16838"/>
      <w:pgMar w:top="1440" w:right="1797" w:bottom="1440" w:left="1797" w:header="709" w:footer="709" w:gutter="0"/>
      <w:lnNumType w:countBy="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2E6F" w:rsidRDefault="00CA2E6F" w:rsidP="002A5C78">
      <w:r>
        <w:separator/>
      </w:r>
    </w:p>
  </w:endnote>
  <w:endnote w:type="continuationSeparator" w:id="0">
    <w:p w:rsidR="00CA2E6F" w:rsidRDefault="00CA2E6F" w:rsidP="002A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94A" w:rsidRDefault="001C594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968541255"/>
      <w:docPartObj>
        <w:docPartGallery w:val="Page Numbers (Bottom of Page)"/>
        <w:docPartUnique/>
      </w:docPartObj>
    </w:sdtPr>
    <w:sdtEndPr>
      <w:rPr>
        <w:cs/>
      </w:rPr>
    </w:sdtEndPr>
    <w:sdtContent>
      <w:p w:rsidR="002A5C78" w:rsidRDefault="002A5C78">
        <w:pPr>
          <w:pStyle w:val="a5"/>
          <w:jc w:val="center"/>
          <w:rPr>
            <w:rtl/>
            <w:cs/>
          </w:rPr>
        </w:pPr>
        <w:r>
          <w:fldChar w:fldCharType="begin"/>
        </w:r>
        <w:r>
          <w:rPr>
            <w:rtl/>
            <w:cs/>
          </w:rPr>
          <w:instrText>PAGE   \* MERGEFORMAT</w:instrText>
        </w:r>
        <w:r>
          <w:fldChar w:fldCharType="separate"/>
        </w:r>
        <w:r w:rsidR="00025F1D" w:rsidRPr="00025F1D">
          <w:rPr>
            <w:rtl/>
            <w:lang w:val="he-IL"/>
          </w:rPr>
          <w:t>1</w:t>
        </w:r>
        <w:r>
          <w:fldChar w:fldCharType="end"/>
        </w:r>
      </w:p>
    </w:sdtContent>
  </w:sdt>
  <w:p w:rsidR="002A5C78" w:rsidRDefault="002A5C78">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94A" w:rsidRDefault="001C594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2E6F" w:rsidRDefault="00CA2E6F" w:rsidP="002A5C78">
      <w:r>
        <w:separator/>
      </w:r>
    </w:p>
  </w:footnote>
  <w:footnote w:type="continuationSeparator" w:id="0">
    <w:p w:rsidR="00CA2E6F" w:rsidRDefault="00CA2E6F" w:rsidP="002A5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94A" w:rsidRDefault="001C594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C78" w:rsidRPr="00920EBB" w:rsidRDefault="002A5C78" w:rsidP="002A5C78">
    <w:pPr>
      <w:tabs>
        <w:tab w:val="center" w:pos="4153"/>
        <w:tab w:val="right" w:pos="8306"/>
      </w:tabs>
      <w:jc w:val="center"/>
      <w:rPr>
        <w:rFonts w:cs="FrankRuehl"/>
        <w:sz w:val="28"/>
        <w:szCs w:val="28"/>
      </w:rPr>
    </w:pPr>
    <w:r w:rsidRPr="00920EBB">
      <w:rPr>
        <w:rFonts w:cs="FrankRuehl"/>
        <w:sz w:val="28"/>
        <w:szCs w:val="28"/>
      </w:rPr>
      <w:drawing>
        <wp:inline distT="0" distB="0" distL="0" distR="0" wp14:anchorId="0C249327" wp14:editId="722DF9D6">
          <wp:extent cx="374015" cy="464185"/>
          <wp:effectExtent l="0" t="0" r="6985" b="0"/>
          <wp:docPr id="1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4015" cy="464185"/>
                  </a:xfrm>
                  <a:prstGeom prst="rect">
                    <a:avLst/>
                  </a:prstGeom>
                  <a:noFill/>
                  <a:ln>
                    <a:noFill/>
                  </a:ln>
                </pic:spPr>
              </pic:pic>
            </a:graphicData>
          </a:graphic>
        </wp:inline>
      </w:drawing>
    </w:r>
    <w:r w:rsidRPr="00920EBB">
      <mc:AlternateContent>
        <mc:Choice Requires="wps">
          <w:drawing>
            <wp:anchor distT="0" distB="0" distL="114300" distR="114300" simplePos="0" relativeHeight="251659264" behindDoc="0" locked="0" layoutInCell="1" allowOverlap="1" wp14:anchorId="68D66932" wp14:editId="048E9715">
              <wp:simplePos x="0" y="0"/>
              <wp:positionH relativeFrom="margin">
                <wp:align>center</wp:align>
              </wp:positionH>
              <wp:positionV relativeFrom="margin">
                <wp:align>center</wp:align>
              </wp:positionV>
              <wp:extent cx="6071870" cy="1104265"/>
              <wp:effectExtent l="0" t="1895475" r="0" b="1962785"/>
              <wp:wrapNone/>
              <wp:docPr id="2" name="PowerPlusWaterMarkObject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071870" cy="11042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A5C78" w:rsidRDefault="002A5C78" w:rsidP="002A5C78">
                          <w:pPr>
                            <w:pStyle w:val="NormalWeb"/>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8D66932" id="_x0000_t202" coordsize="21600,21600" o:spt="202" path="m,l,21600r21600,l21600,xe">
              <v:stroke joinstyle="miter"/>
              <v:path gradientshapeok="t" o:connecttype="rect"/>
            </v:shapetype>
            <v:shape id="PowerPlusWaterMarkObject2" o:spid="_x0000_s1026" type="#_x0000_t202" style="position:absolute;left:0;text-align:left;margin-left:0;margin-top:0;width:478.1pt;height:86.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" filled="f" stroked="f">
              <v:stroke joinstyle="round"/>
              <o:lock v:ext="edit" aspectratio="t" shapetype="t"/>
              <v:textbox style="mso-fit-shape-to-text:t">
                <w:txbxContent>
                  <w:p w:rsidR="002A5C78" w:rsidRDefault="002A5C78" w:rsidP="002A5C78">
                    <w:pPr>
                      <w:pStyle w:val="NormalWeb"/>
                      <w:jc w:val="center"/>
                    </w:pPr>
                  </w:p>
                </w:txbxContent>
              </v:textbox>
              <w10:wrap anchorx="margin" anchory="margin"/>
            </v:shape>
          </w:pict>
        </mc:Fallback>
      </mc:AlternateContent>
    </w:r>
  </w:p>
  <w:sdt>
    <w:sdtPr>
      <w:rPr>
        <w:rFonts w:ascii="Tahoma" w:hAnsi="Tahoma" w:cs="Tahoma"/>
        <w:b/>
        <w:bCs/>
        <w:color w:val="002060"/>
        <w:rtl/>
      </w:rPr>
      <w:alias w:val="1174"/>
      <w:tag w:val="1174"/>
      <w:id w:val="-1775709220"/>
      <w:text/>
    </w:sdtPr>
    <w:sdtEndPr/>
    <w:sdtContent>
      <w:p w:rsidR="002A5C78" w:rsidRDefault="002A5C78" w:rsidP="002A5C78">
        <w:pPr>
          <w:pStyle w:val="a3"/>
          <w:jc w:val="center"/>
          <w:rPr>
            <w:rtl/>
            <w:cs/>
          </w:rPr>
        </w:pPr>
        <w:r w:rsidRPr="00B709FB">
          <w:rPr>
            <w:rFonts w:ascii="Tahoma" w:hAnsi="Tahoma" w:cs="Tahoma"/>
            <w:b/>
            <w:bCs/>
            <w:color w:val="002060"/>
            <w:rtl/>
          </w:rPr>
          <w:t>בית משפט לענייני משפחה בקריות</w:t>
        </w:r>
      </w:p>
    </w:sdtContent>
  </w:sdt>
  <w:p w:rsidR="002A5C78" w:rsidRDefault="002A5C78" w:rsidP="002A5C78">
    <w:pPr>
      <w:pStyle w:val="a3"/>
      <w:rPr>
        <w:rtl/>
        <w:cs/>
      </w:rPr>
    </w:pPr>
  </w:p>
  <w:p w:rsidR="00B709FB" w:rsidRDefault="00B709FB" w:rsidP="002A5C78">
    <w:pPr>
      <w:pStyle w:val="a3"/>
      <w:rPr>
        <w:rFonts w:ascii="David" w:hAnsi="David"/>
        <w:b/>
        <w:bCs/>
        <w:rtl/>
        <w:cs/>
      </w:rPr>
    </w:pPr>
  </w:p>
  <w:p w:rsidR="002A5C78" w:rsidRPr="002A5C78" w:rsidRDefault="002A5C78" w:rsidP="007D5D86">
    <w:pPr>
      <w:pStyle w:val="a3"/>
      <w:rPr>
        <w:rFonts w:ascii="David" w:hAnsi="David"/>
        <w:b/>
        <w:bCs/>
        <w:rtl/>
        <w:cs/>
      </w:rPr>
    </w:pPr>
    <w:r w:rsidRPr="002A5C78">
      <w:rPr>
        <w:rFonts w:ascii="David" w:hAnsi="David"/>
        <w:b/>
        <w:bCs/>
        <w:rtl/>
        <w:cs/>
      </w:rPr>
      <w:t xml:space="preserve">תלה"מ </w:t>
    </w:r>
    <w:r w:rsidR="007D5D86">
      <w:rPr>
        <w:rFonts w:ascii="David" w:hAnsi="David" w:hint="cs"/>
        <w:b/>
        <w:bCs/>
        <w:rtl/>
        <w:cs/>
      </w:rPr>
      <w:t xml:space="preserve">56583-12-19 </w:t>
    </w:r>
    <w:r>
      <w:rPr>
        <w:rFonts w:ascii="David" w:hAnsi="David" w:hint="cs"/>
        <w:b/>
        <w:bCs/>
        <w:rtl/>
        <w:cs/>
      </w:rPr>
      <w:t>פלוני</w:t>
    </w:r>
    <w:r w:rsidR="007D5D86">
      <w:rPr>
        <w:rFonts w:ascii="David" w:hAnsi="David" w:hint="cs"/>
        <w:b/>
        <w:bCs/>
        <w:rtl/>
        <w:cs/>
      </w:rPr>
      <w:t>ת</w:t>
    </w:r>
    <w:r>
      <w:rPr>
        <w:rFonts w:ascii="David" w:hAnsi="David" w:hint="cs"/>
        <w:b/>
        <w:bCs/>
        <w:rtl/>
        <w:cs/>
      </w:rPr>
      <w:t xml:space="preserve"> נ' אלמוני </w:t>
    </w:r>
  </w:p>
  <w:p w:rsidR="002A5C78" w:rsidRDefault="002A5C78">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94A" w:rsidRDefault="001C594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06040"/>
    <w:multiLevelType w:val="multilevel"/>
    <w:tmpl w:val="04090021"/>
    <w:lvl w:ilvl="0">
      <w:start w:val="1"/>
      <w:numFmt w:val="hebrew1"/>
      <w:lvlText w:val="%1."/>
      <w:lvlJc w:val="center"/>
      <w:pPr>
        <w:ind w:left="1080" w:hanging="360"/>
      </w:pPr>
    </w:lvl>
    <w:lvl w:ilvl="1">
      <w:start w:val="1"/>
      <w:numFmt w:val="decimal"/>
      <w:lvlText w:val="%1.%2."/>
      <w:lvlJc w:val="center"/>
      <w:pPr>
        <w:ind w:left="1440" w:hanging="360"/>
      </w:pPr>
    </w:lvl>
    <w:lvl w:ilvl="2">
      <w:start w:val="1"/>
      <w:numFmt w:val="hebrew1"/>
      <w:lvlText w:val="%1.%2.%3."/>
      <w:lvlJc w:val="center"/>
      <w:pPr>
        <w:ind w:left="1800" w:hanging="360"/>
      </w:pPr>
    </w:lvl>
    <w:lvl w:ilvl="3">
      <w:start w:val="1"/>
      <w:numFmt w:val="decimal"/>
      <w:lvlText w:val="%1.%2.%3.%4."/>
      <w:lvlJc w:val="center"/>
      <w:pPr>
        <w:ind w:left="2160" w:hanging="360"/>
      </w:pPr>
    </w:lvl>
    <w:lvl w:ilvl="4">
      <w:start w:val="1"/>
      <w:numFmt w:val="hebrew1"/>
      <w:lvlText w:val="%1.%2.%3.%4.%5."/>
      <w:lvlJc w:val="center"/>
      <w:pPr>
        <w:ind w:left="2520" w:hanging="360"/>
      </w:pPr>
    </w:lvl>
    <w:lvl w:ilvl="5">
      <w:start w:val="1"/>
      <w:numFmt w:val="decimal"/>
      <w:lvlText w:val="%1.%2.%3.%4.%5.%6."/>
      <w:lvlJc w:val="center"/>
      <w:pPr>
        <w:ind w:left="2880" w:hanging="360"/>
      </w:pPr>
    </w:lvl>
    <w:lvl w:ilvl="6">
      <w:start w:val="1"/>
      <w:numFmt w:val="hebrew1"/>
      <w:lvlText w:val="%1.%2.%3.%4.%5.%6.%7."/>
      <w:lvlJc w:val="center"/>
      <w:pPr>
        <w:ind w:left="3240" w:hanging="360"/>
      </w:pPr>
    </w:lvl>
    <w:lvl w:ilvl="7">
      <w:start w:val="1"/>
      <w:numFmt w:val="decimal"/>
      <w:lvlText w:val="%1.%2.%3.%4.%5.%6.%7.%8."/>
      <w:lvlJc w:val="center"/>
      <w:pPr>
        <w:ind w:left="3600" w:hanging="360"/>
      </w:pPr>
    </w:lvl>
    <w:lvl w:ilvl="8">
      <w:start w:val="1"/>
      <w:numFmt w:val="hebrew1"/>
      <w:lvlText w:val="%1.%2.%3.%4.%5.%6.%7.%8.%9."/>
      <w:lvlJc w:val="center"/>
      <w:pPr>
        <w:ind w:left="3960" w:hanging="360"/>
      </w:pPr>
    </w:lvl>
  </w:abstractNum>
  <w:abstractNum w:abstractNumId="1" w15:restartNumberingAfterBreak="0">
    <w:nsid w:val="1A586066"/>
    <w:multiLevelType w:val="multilevel"/>
    <w:tmpl w:val="04090021"/>
    <w:lvl w:ilvl="0">
      <w:start w:val="1"/>
      <w:numFmt w:val="hebrew1"/>
      <w:lvlText w:val="%1."/>
      <w:lvlJc w:val="center"/>
      <w:pPr>
        <w:ind w:left="1080" w:hanging="360"/>
      </w:pPr>
      <w:rPr>
        <w:strike w:val="0"/>
        <w:dstrike w:val="0"/>
        <w:u w:val="none"/>
        <w:effect w:val="none"/>
      </w:rPr>
    </w:lvl>
    <w:lvl w:ilvl="1">
      <w:start w:val="1"/>
      <w:numFmt w:val="decimal"/>
      <w:lvlText w:val="%1.%2."/>
      <w:lvlJc w:val="center"/>
      <w:pPr>
        <w:ind w:left="1440" w:hanging="360"/>
      </w:pPr>
    </w:lvl>
    <w:lvl w:ilvl="2">
      <w:start w:val="1"/>
      <w:numFmt w:val="hebrew1"/>
      <w:lvlText w:val="%1.%2.%3."/>
      <w:lvlJc w:val="center"/>
      <w:pPr>
        <w:ind w:left="1800" w:hanging="360"/>
      </w:pPr>
    </w:lvl>
    <w:lvl w:ilvl="3">
      <w:start w:val="1"/>
      <w:numFmt w:val="decimal"/>
      <w:lvlText w:val="%1.%2.%3.%4."/>
      <w:lvlJc w:val="center"/>
      <w:pPr>
        <w:ind w:left="2160" w:hanging="360"/>
      </w:pPr>
    </w:lvl>
    <w:lvl w:ilvl="4">
      <w:start w:val="1"/>
      <w:numFmt w:val="hebrew1"/>
      <w:lvlText w:val="%1.%2.%3.%4.%5."/>
      <w:lvlJc w:val="center"/>
      <w:pPr>
        <w:ind w:left="2520" w:hanging="360"/>
      </w:pPr>
    </w:lvl>
    <w:lvl w:ilvl="5">
      <w:start w:val="1"/>
      <w:numFmt w:val="decimal"/>
      <w:lvlText w:val="%1.%2.%3.%4.%5.%6."/>
      <w:lvlJc w:val="center"/>
      <w:pPr>
        <w:ind w:left="2880" w:hanging="360"/>
      </w:pPr>
    </w:lvl>
    <w:lvl w:ilvl="6">
      <w:start w:val="1"/>
      <w:numFmt w:val="hebrew1"/>
      <w:lvlText w:val="%1.%2.%3.%4.%5.%6.%7."/>
      <w:lvlJc w:val="center"/>
      <w:pPr>
        <w:ind w:left="3240" w:hanging="360"/>
      </w:pPr>
    </w:lvl>
    <w:lvl w:ilvl="7">
      <w:start w:val="1"/>
      <w:numFmt w:val="decimal"/>
      <w:lvlText w:val="%1.%2.%3.%4.%5.%6.%7.%8."/>
      <w:lvlJc w:val="center"/>
      <w:pPr>
        <w:ind w:left="3600" w:hanging="360"/>
      </w:pPr>
    </w:lvl>
    <w:lvl w:ilvl="8">
      <w:start w:val="1"/>
      <w:numFmt w:val="hebrew1"/>
      <w:lvlText w:val="%1.%2.%3.%4.%5.%6.%7.%8.%9."/>
      <w:lvlJc w:val="center"/>
      <w:pPr>
        <w:ind w:left="3960" w:hanging="360"/>
      </w:pPr>
    </w:lvl>
  </w:abstractNum>
  <w:abstractNum w:abstractNumId="2" w15:restartNumberingAfterBreak="0">
    <w:nsid w:val="1CC30FA6"/>
    <w:multiLevelType w:val="hybridMultilevel"/>
    <w:tmpl w:val="027CCE36"/>
    <w:lvl w:ilvl="0" w:tplc="65B2D68A">
      <w:start w:val="1"/>
      <w:numFmt w:val="hebrew1"/>
      <w:lvlText w:val="%1."/>
      <w:lvlJc w:val="left"/>
      <w:pPr>
        <w:ind w:left="1080" w:hanging="360"/>
      </w:pPr>
      <w:rPr>
        <w:b/>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2F4D5D07"/>
    <w:multiLevelType w:val="hybridMultilevel"/>
    <w:tmpl w:val="64BA93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4194117C"/>
    <w:multiLevelType w:val="hybridMultilevel"/>
    <w:tmpl w:val="F6FCBEBA"/>
    <w:lvl w:ilvl="0" w:tplc="04090001">
      <w:start w:val="1"/>
      <w:numFmt w:val="bullet"/>
      <w:lvlText w:val=""/>
      <w:lvlJc w:val="left"/>
      <w:pPr>
        <w:ind w:left="1128" w:hanging="360"/>
      </w:pPr>
      <w:rPr>
        <w:rFonts w:ascii="Symbol" w:hAnsi="Symbol" w:hint="default"/>
      </w:rPr>
    </w:lvl>
    <w:lvl w:ilvl="1" w:tplc="04090003">
      <w:start w:val="1"/>
      <w:numFmt w:val="bullet"/>
      <w:lvlText w:val="o"/>
      <w:lvlJc w:val="left"/>
      <w:pPr>
        <w:ind w:left="1848" w:hanging="360"/>
      </w:pPr>
      <w:rPr>
        <w:rFonts w:ascii="Courier New" w:hAnsi="Courier New" w:cs="Courier New" w:hint="default"/>
      </w:rPr>
    </w:lvl>
    <w:lvl w:ilvl="2" w:tplc="04090005">
      <w:start w:val="1"/>
      <w:numFmt w:val="bullet"/>
      <w:lvlText w:val=""/>
      <w:lvlJc w:val="left"/>
      <w:pPr>
        <w:ind w:left="2568" w:hanging="360"/>
      </w:pPr>
      <w:rPr>
        <w:rFonts w:ascii="Wingdings" w:hAnsi="Wingdings" w:hint="default"/>
      </w:rPr>
    </w:lvl>
    <w:lvl w:ilvl="3" w:tplc="04090001">
      <w:start w:val="1"/>
      <w:numFmt w:val="bullet"/>
      <w:lvlText w:val=""/>
      <w:lvlJc w:val="left"/>
      <w:pPr>
        <w:ind w:left="3288" w:hanging="360"/>
      </w:pPr>
      <w:rPr>
        <w:rFonts w:ascii="Symbol" w:hAnsi="Symbol" w:hint="default"/>
      </w:rPr>
    </w:lvl>
    <w:lvl w:ilvl="4" w:tplc="04090003">
      <w:start w:val="1"/>
      <w:numFmt w:val="bullet"/>
      <w:lvlText w:val="o"/>
      <w:lvlJc w:val="left"/>
      <w:pPr>
        <w:ind w:left="4008" w:hanging="360"/>
      </w:pPr>
      <w:rPr>
        <w:rFonts w:ascii="Courier New" w:hAnsi="Courier New" w:cs="Courier New" w:hint="default"/>
      </w:rPr>
    </w:lvl>
    <w:lvl w:ilvl="5" w:tplc="04090005">
      <w:start w:val="1"/>
      <w:numFmt w:val="bullet"/>
      <w:lvlText w:val=""/>
      <w:lvlJc w:val="left"/>
      <w:pPr>
        <w:ind w:left="4728" w:hanging="360"/>
      </w:pPr>
      <w:rPr>
        <w:rFonts w:ascii="Wingdings" w:hAnsi="Wingdings" w:hint="default"/>
      </w:rPr>
    </w:lvl>
    <w:lvl w:ilvl="6" w:tplc="04090001">
      <w:start w:val="1"/>
      <w:numFmt w:val="bullet"/>
      <w:lvlText w:val=""/>
      <w:lvlJc w:val="left"/>
      <w:pPr>
        <w:ind w:left="5448" w:hanging="360"/>
      </w:pPr>
      <w:rPr>
        <w:rFonts w:ascii="Symbol" w:hAnsi="Symbol" w:hint="default"/>
      </w:rPr>
    </w:lvl>
    <w:lvl w:ilvl="7" w:tplc="04090003">
      <w:start w:val="1"/>
      <w:numFmt w:val="bullet"/>
      <w:lvlText w:val="o"/>
      <w:lvlJc w:val="left"/>
      <w:pPr>
        <w:ind w:left="6168" w:hanging="360"/>
      </w:pPr>
      <w:rPr>
        <w:rFonts w:ascii="Courier New" w:hAnsi="Courier New" w:cs="Courier New" w:hint="default"/>
      </w:rPr>
    </w:lvl>
    <w:lvl w:ilvl="8" w:tplc="04090005">
      <w:start w:val="1"/>
      <w:numFmt w:val="bullet"/>
      <w:lvlText w:val=""/>
      <w:lvlJc w:val="left"/>
      <w:pPr>
        <w:ind w:left="6888" w:hanging="360"/>
      </w:pPr>
      <w:rPr>
        <w:rFonts w:ascii="Wingdings" w:hAnsi="Wingdings" w:hint="default"/>
      </w:rPr>
    </w:lvl>
  </w:abstractNum>
  <w:abstractNum w:abstractNumId="5" w15:restartNumberingAfterBreak="0">
    <w:nsid w:val="45312F63"/>
    <w:multiLevelType w:val="hybridMultilevel"/>
    <w:tmpl w:val="24F88A84"/>
    <w:lvl w:ilvl="0" w:tplc="7C8A15BA">
      <w:start w:val="1"/>
      <w:numFmt w:val="decimal"/>
      <w:lvlText w:val="%1."/>
      <w:lvlJc w:val="left"/>
      <w:pPr>
        <w:ind w:left="360" w:hanging="360"/>
      </w:pPr>
      <w:rPr>
        <w:rFonts w:ascii="David" w:hAnsi="David" w:cs="David" w:hint="default"/>
        <w:b w:val="0"/>
        <w:bCs w:val="0"/>
        <w:sz w:val="24"/>
        <w:szCs w:val="24"/>
        <w:lang w:bidi="he-IL"/>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4DA749B7"/>
    <w:multiLevelType w:val="hybridMultilevel"/>
    <w:tmpl w:val="8800E212"/>
    <w:lvl w:ilvl="0" w:tplc="5B6CD3BC">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722D0B3E"/>
    <w:multiLevelType w:val="hybridMultilevel"/>
    <w:tmpl w:val="10A2596A"/>
    <w:lvl w:ilvl="0" w:tplc="1F3CA95E">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C9B0D12"/>
    <w:multiLevelType w:val="hybridMultilevel"/>
    <w:tmpl w:val="5D74949E"/>
    <w:lvl w:ilvl="0" w:tplc="04090001">
      <w:start w:val="1"/>
      <w:numFmt w:val="bullet"/>
      <w:lvlText w:val=""/>
      <w:lvlJc w:val="left"/>
      <w:pPr>
        <w:ind w:left="1128" w:hanging="360"/>
      </w:pPr>
      <w:rPr>
        <w:rFonts w:ascii="Symbol" w:hAnsi="Symbol" w:hint="default"/>
      </w:rPr>
    </w:lvl>
    <w:lvl w:ilvl="1" w:tplc="04090003">
      <w:start w:val="1"/>
      <w:numFmt w:val="bullet"/>
      <w:lvlText w:val="o"/>
      <w:lvlJc w:val="left"/>
      <w:pPr>
        <w:ind w:left="1848" w:hanging="360"/>
      </w:pPr>
      <w:rPr>
        <w:rFonts w:ascii="Courier New" w:hAnsi="Courier New" w:cs="Courier New" w:hint="default"/>
      </w:rPr>
    </w:lvl>
    <w:lvl w:ilvl="2" w:tplc="04090005">
      <w:start w:val="1"/>
      <w:numFmt w:val="bullet"/>
      <w:lvlText w:val=""/>
      <w:lvlJc w:val="left"/>
      <w:pPr>
        <w:ind w:left="2568" w:hanging="360"/>
      </w:pPr>
      <w:rPr>
        <w:rFonts w:ascii="Wingdings" w:hAnsi="Wingdings" w:hint="default"/>
      </w:rPr>
    </w:lvl>
    <w:lvl w:ilvl="3" w:tplc="04090001">
      <w:start w:val="1"/>
      <w:numFmt w:val="bullet"/>
      <w:lvlText w:val=""/>
      <w:lvlJc w:val="left"/>
      <w:pPr>
        <w:ind w:left="3288" w:hanging="360"/>
      </w:pPr>
      <w:rPr>
        <w:rFonts w:ascii="Symbol" w:hAnsi="Symbol" w:hint="default"/>
      </w:rPr>
    </w:lvl>
    <w:lvl w:ilvl="4" w:tplc="04090003">
      <w:start w:val="1"/>
      <w:numFmt w:val="bullet"/>
      <w:lvlText w:val="o"/>
      <w:lvlJc w:val="left"/>
      <w:pPr>
        <w:ind w:left="4008" w:hanging="360"/>
      </w:pPr>
      <w:rPr>
        <w:rFonts w:ascii="Courier New" w:hAnsi="Courier New" w:cs="Courier New" w:hint="default"/>
      </w:rPr>
    </w:lvl>
    <w:lvl w:ilvl="5" w:tplc="04090005">
      <w:start w:val="1"/>
      <w:numFmt w:val="bullet"/>
      <w:lvlText w:val=""/>
      <w:lvlJc w:val="left"/>
      <w:pPr>
        <w:ind w:left="4728" w:hanging="360"/>
      </w:pPr>
      <w:rPr>
        <w:rFonts w:ascii="Wingdings" w:hAnsi="Wingdings" w:hint="default"/>
      </w:rPr>
    </w:lvl>
    <w:lvl w:ilvl="6" w:tplc="04090001">
      <w:start w:val="1"/>
      <w:numFmt w:val="bullet"/>
      <w:lvlText w:val=""/>
      <w:lvlJc w:val="left"/>
      <w:pPr>
        <w:ind w:left="5448" w:hanging="360"/>
      </w:pPr>
      <w:rPr>
        <w:rFonts w:ascii="Symbol" w:hAnsi="Symbol" w:hint="default"/>
      </w:rPr>
    </w:lvl>
    <w:lvl w:ilvl="7" w:tplc="04090003">
      <w:start w:val="1"/>
      <w:numFmt w:val="bullet"/>
      <w:lvlText w:val="o"/>
      <w:lvlJc w:val="left"/>
      <w:pPr>
        <w:ind w:left="6168" w:hanging="360"/>
      </w:pPr>
      <w:rPr>
        <w:rFonts w:ascii="Courier New" w:hAnsi="Courier New" w:cs="Courier New" w:hint="default"/>
      </w:rPr>
    </w:lvl>
    <w:lvl w:ilvl="8" w:tplc="04090005">
      <w:start w:val="1"/>
      <w:numFmt w:val="bullet"/>
      <w:lvlText w:val=""/>
      <w:lvlJc w:val="left"/>
      <w:pPr>
        <w:ind w:left="6888"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8"/>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5B1"/>
    <w:rsid w:val="00025F1D"/>
    <w:rsid w:val="000839FC"/>
    <w:rsid w:val="001C594A"/>
    <w:rsid w:val="002A5C78"/>
    <w:rsid w:val="002A7D46"/>
    <w:rsid w:val="00422DB9"/>
    <w:rsid w:val="00431038"/>
    <w:rsid w:val="007D5D86"/>
    <w:rsid w:val="008144A4"/>
    <w:rsid w:val="00960714"/>
    <w:rsid w:val="009663EB"/>
    <w:rsid w:val="00A11621"/>
    <w:rsid w:val="00AA45B9"/>
    <w:rsid w:val="00B709FB"/>
    <w:rsid w:val="00B878DA"/>
    <w:rsid w:val="00C87C92"/>
    <w:rsid w:val="00CA2E6F"/>
    <w:rsid w:val="00F445B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8A1BF-59A3-458E-ABC0-B5E13F2B8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038"/>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5C78"/>
    <w:pPr>
      <w:tabs>
        <w:tab w:val="center" w:pos="4153"/>
        <w:tab w:val="right" w:pos="8306"/>
      </w:tabs>
    </w:pPr>
  </w:style>
  <w:style w:type="character" w:customStyle="1" w:styleId="a4">
    <w:name w:val="כותרת עליונה תו"/>
    <w:basedOn w:val="a0"/>
    <w:link w:val="a3"/>
    <w:uiPriority w:val="99"/>
    <w:rsid w:val="002A5C78"/>
  </w:style>
  <w:style w:type="paragraph" w:styleId="a5">
    <w:name w:val="footer"/>
    <w:basedOn w:val="a"/>
    <w:link w:val="a6"/>
    <w:uiPriority w:val="99"/>
    <w:unhideWhenUsed/>
    <w:rsid w:val="002A5C78"/>
    <w:pPr>
      <w:tabs>
        <w:tab w:val="center" w:pos="4153"/>
        <w:tab w:val="right" w:pos="8306"/>
      </w:tabs>
    </w:pPr>
  </w:style>
  <w:style w:type="character" w:customStyle="1" w:styleId="a6">
    <w:name w:val="כותרת תחתונה תו"/>
    <w:basedOn w:val="a0"/>
    <w:link w:val="a5"/>
    <w:uiPriority w:val="99"/>
    <w:rsid w:val="002A5C78"/>
  </w:style>
  <w:style w:type="paragraph" w:styleId="NormalWeb">
    <w:name w:val="Normal (Web)"/>
    <w:basedOn w:val="a"/>
    <w:uiPriority w:val="99"/>
    <w:semiHidden/>
    <w:unhideWhenUsed/>
    <w:rsid w:val="002A5C78"/>
    <w:rPr>
      <w:rFonts w:cs="Times New Roman"/>
    </w:rPr>
  </w:style>
  <w:style w:type="paragraph" w:styleId="a7">
    <w:name w:val="Balloon Text"/>
    <w:basedOn w:val="a"/>
    <w:link w:val="a8"/>
    <w:uiPriority w:val="99"/>
    <w:semiHidden/>
    <w:unhideWhenUsed/>
    <w:rsid w:val="002A5C78"/>
    <w:rPr>
      <w:rFonts w:ascii="Tahoma" w:hAnsi="Tahoma" w:cs="Tahoma"/>
      <w:sz w:val="18"/>
      <w:szCs w:val="18"/>
    </w:rPr>
  </w:style>
  <w:style w:type="character" w:customStyle="1" w:styleId="a8">
    <w:name w:val="טקסט בלונים תו"/>
    <w:basedOn w:val="a0"/>
    <w:link w:val="a7"/>
    <w:uiPriority w:val="99"/>
    <w:semiHidden/>
    <w:rsid w:val="002A5C78"/>
    <w:rPr>
      <w:rFonts w:ascii="Tahoma" w:hAnsi="Tahoma" w:cs="Tahoma"/>
      <w:sz w:val="18"/>
      <w:szCs w:val="18"/>
    </w:rPr>
  </w:style>
  <w:style w:type="character" w:styleId="a9">
    <w:name w:val="line number"/>
    <w:basedOn w:val="a0"/>
    <w:uiPriority w:val="99"/>
    <w:semiHidden/>
    <w:unhideWhenUsed/>
    <w:rsid w:val="002A5C78"/>
  </w:style>
  <w:style w:type="character" w:styleId="Hyperlink">
    <w:name w:val="Hyperlink"/>
    <w:basedOn w:val="a0"/>
    <w:semiHidden/>
    <w:unhideWhenUsed/>
    <w:rsid w:val="00431038"/>
    <w:rPr>
      <w:noProof w:val="0"/>
      <w:color w:val="0000FF"/>
      <w:u w:val="single"/>
    </w:rPr>
  </w:style>
  <w:style w:type="paragraph" w:styleId="aa">
    <w:name w:val="List Paragraph"/>
    <w:basedOn w:val="a"/>
    <w:uiPriority w:val="34"/>
    <w:qFormat/>
    <w:rsid w:val="00431038"/>
    <w:pPr>
      <w:spacing w:after="160" w:line="252" w:lineRule="auto"/>
      <w:ind w:left="720"/>
      <w:contextualSpacing/>
    </w:pPr>
    <w:rPr>
      <w:rFonts w:asciiTheme="minorHAnsi" w:eastAsiaTheme="minorHAnsi" w:hAnsiTheme="minorHAnsi" w:cstheme="minorBidi"/>
      <w:noProof w:val="0"/>
      <w:sz w:val="22"/>
      <w:szCs w:val="22"/>
    </w:rPr>
  </w:style>
  <w:style w:type="character" w:customStyle="1" w:styleId="Ruller4">
    <w:name w:val="Ruller4 תו"/>
    <w:link w:val="Ruller40"/>
    <w:locked/>
    <w:rsid w:val="00431038"/>
    <w:rPr>
      <w:rFonts w:ascii="Arial TUR" w:hAnsi="Arial TUR" w:cs="FrankRuehl"/>
      <w:spacing w:val="10"/>
      <w:szCs w:val="28"/>
    </w:rPr>
  </w:style>
  <w:style w:type="paragraph" w:customStyle="1" w:styleId="Ruller40">
    <w:name w:val="Ruller4"/>
    <w:basedOn w:val="a"/>
    <w:link w:val="Ruller4"/>
    <w:rsid w:val="00431038"/>
    <w:pPr>
      <w:tabs>
        <w:tab w:val="left" w:pos="800"/>
      </w:tabs>
      <w:overflowPunct w:val="0"/>
      <w:autoSpaceDE w:val="0"/>
      <w:autoSpaceDN w:val="0"/>
      <w:adjustRightInd w:val="0"/>
      <w:spacing w:line="360" w:lineRule="auto"/>
      <w:jc w:val="both"/>
    </w:pPr>
    <w:rPr>
      <w:rFonts w:ascii="Arial TUR" w:eastAsiaTheme="minorHAnsi" w:hAnsi="Arial TUR" w:cs="FrankRuehl"/>
      <w:noProof w:val="0"/>
      <w:spacing w:val="10"/>
      <w:sz w:val="22"/>
      <w:szCs w:val="28"/>
    </w:rPr>
  </w:style>
  <w:style w:type="paragraph" w:customStyle="1" w:styleId="ruller41">
    <w:name w:val="ruller4"/>
    <w:basedOn w:val="a"/>
    <w:rsid w:val="00431038"/>
    <w:pPr>
      <w:overflowPunct w:val="0"/>
      <w:autoSpaceDE w:val="0"/>
      <w:autoSpaceDN w:val="0"/>
      <w:spacing w:line="360" w:lineRule="auto"/>
      <w:jc w:val="both"/>
    </w:pPr>
    <w:rPr>
      <w:rFonts w:ascii="Arial TUR" w:hAnsi="Arial TUR" w:cs="Times New Roman"/>
      <w:noProof w:val="0"/>
      <w:spacing w:val="10"/>
      <w:sz w:val="22"/>
      <w:szCs w:val="22"/>
      <w:lang w:eastAsia="he-IL"/>
    </w:rPr>
  </w:style>
  <w:style w:type="paragraph" w:customStyle="1" w:styleId="P22">
    <w:name w:val="P22"/>
    <w:basedOn w:val="a"/>
    <w:rsid w:val="00431038"/>
    <w:pPr>
      <w:widowControl w:val="0"/>
      <w:tabs>
        <w:tab w:val="left" w:pos="1474"/>
        <w:tab w:val="left" w:pos="1928"/>
        <w:tab w:val="left" w:pos="2381"/>
        <w:tab w:val="left" w:pos="2835"/>
        <w:tab w:val="right" w:leader="dot" w:pos="6259"/>
      </w:tabs>
      <w:suppressAutoHyphens/>
      <w:autoSpaceDE w:val="0"/>
      <w:autoSpaceDN w:val="0"/>
      <w:spacing w:before="60"/>
      <w:ind w:left="2835" w:right="1021"/>
      <w:jc w:val="both"/>
    </w:pPr>
    <w:rPr>
      <w:rFonts w:cs="Times New Roman"/>
      <w:noProof w:val="0"/>
      <w:sz w:val="20"/>
      <w:szCs w:val="26"/>
      <w:lang w:eastAsia="he-IL"/>
    </w:rPr>
  </w:style>
  <w:style w:type="character" w:customStyle="1" w:styleId="default">
    <w:name w:val="default"/>
    <w:basedOn w:val="a0"/>
    <w:rsid w:val="00431038"/>
    <w:rPr>
      <w:rFonts w:ascii="Times New Roman" w:hAnsi="Times New Roman" w:cs="Times New Roman" w:hint="default"/>
      <w:noProof w:val="0"/>
      <w:sz w:val="26"/>
      <w:szCs w:val="26"/>
    </w:rPr>
  </w:style>
  <w:style w:type="table" w:styleId="ab">
    <w:name w:val="Table Grid"/>
    <w:basedOn w:val="a1"/>
    <w:rsid w:val="00431038"/>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58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case/6247704" TargetMode="External"/><Relationship Id="rId13" Type="http://schemas.openxmlformats.org/officeDocument/2006/relationships/hyperlink" Target="http://www.nevo.co.il/case/6218695"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www.nevo.co.il/links/psika/?link=&#1489;&#1490;&#1509;%202533/11" TargetMode="External"/><Relationship Id="rId12" Type="http://schemas.openxmlformats.org/officeDocument/2006/relationships/hyperlink" Target="http://www.nevo.co.il/case/6243550"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case/6230693"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1.jpeg"/><Relationship Id="rId23" Type="http://schemas.openxmlformats.org/officeDocument/2006/relationships/glossaryDocument" Target="glossary/document.xml"/><Relationship Id="rId10" Type="http://schemas.openxmlformats.org/officeDocument/2006/relationships/hyperlink" Target="http://www.nevo.co.il/case/2538877"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nevo.co.il/case/17016461" TargetMode="External"/><Relationship Id="rId14" Type="http://schemas.openxmlformats.org/officeDocument/2006/relationships/hyperlink" Target="http://www.nevo.co.il/law/72138/5"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6BD11F27E36478F98FE9A02AED83434"/>
        <w:category>
          <w:name w:val="כללי"/>
          <w:gallery w:val="placeholder"/>
        </w:category>
        <w:types>
          <w:type w:val="bbPlcHdr"/>
        </w:types>
        <w:behaviors>
          <w:behavior w:val="content"/>
        </w:behaviors>
        <w:guid w:val="{5A7B5C72-70DA-4E5F-869D-3F4DA70D83C0}"/>
      </w:docPartPr>
      <w:docPartBody>
        <w:p w:rsidR="00E650CB" w:rsidRDefault="003276B4" w:rsidP="003276B4">
          <w:pPr>
            <w:pStyle w:val="F6BD11F27E36478F98FE9A02AED83434"/>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6B4"/>
    <w:rsid w:val="003276B4"/>
    <w:rsid w:val="006003BE"/>
    <w:rsid w:val="00DE553F"/>
    <w:rsid w:val="00E650C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50949E79F31430AAFAA89AD3CC13DA3">
    <w:name w:val="E50949E79F31430AAFAA89AD3CC13DA3"/>
    <w:rsid w:val="003276B4"/>
    <w:pPr>
      <w:bidi/>
    </w:pPr>
  </w:style>
  <w:style w:type="paragraph" w:customStyle="1" w:styleId="007E90EB39EA47C2AEF09E0D525575A6">
    <w:name w:val="007E90EB39EA47C2AEF09E0D525575A6"/>
    <w:rsid w:val="003276B4"/>
    <w:pPr>
      <w:bidi/>
    </w:pPr>
  </w:style>
  <w:style w:type="paragraph" w:customStyle="1" w:styleId="080B4B5C10504208A77C3CEF7E43CDAE">
    <w:name w:val="080B4B5C10504208A77C3CEF7E43CDAE"/>
    <w:rsid w:val="003276B4"/>
    <w:pPr>
      <w:bidi/>
    </w:pPr>
  </w:style>
  <w:style w:type="paragraph" w:customStyle="1" w:styleId="A46FF4CEBFB64BB08956B4FE892D8B7A">
    <w:name w:val="A46FF4CEBFB64BB08956B4FE892D8B7A"/>
    <w:rsid w:val="003276B4"/>
    <w:pPr>
      <w:bidi/>
    </w:pPr>
  </w:style>
  <w:style w:type="character" w:styleId="a3">
    <w:name w:val="Placeholder Text"/>
    <w:basedOn w:val="a0"/>
    <w:uiPriority w:val="99"/>
    <w:semiHidden/>
    <w:rsid w:val="003276B4"/>
  </w:style>
  <w:style w:type="paragraph" w:customStyle="1" w:styleId="F6BD11F27E36478F98FE9A02AED83434">
    <w:name w:val="F6BD11F27E36478F98FE9A02AED83434"/>
    <w:rsid w:val="003276B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7443</Words>
  <Characters>37217</Characters>
  <Application>Microsoft Office Word</Application>
  <DocSecurity>0</DocSecurity>
  <Lines>310</Lines>
  <Paragraphs>89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וינשטיין</dc:creator>
  <cp:keywords/>
  <dc:description/>
  <cp:lastModifiedBy>אסתר טטרואשילי</cp:lastModifiedBy>
  <cp:revision>2</cp:revision>
  <cp:lastPrinted>2023-07-04T07:03:00Z</cp:lastPrinted>
  <dcterms:created xsi:type="dcterms:W3CDTF">2023-07-19T12:32:00Z</dcterms:created>
  <dcterms:modified xsi:type="dcterms:W3CDTF">2023-07-19T12:32:00Z</dcterms:modified>
</cp:coreProperties>
</file>